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BE" w:rsidRDefault="00C04E87" w:rsidP="00C04E87">
      <w:pPr>
        <w:pStyle w:val="ListParagraph"/>
        <w:numPr>
          <w:ilvl w:val="0"/>
          <w:numId w:val="3"/>
        </w:numPr>
      </w:pPr>
      <w:r>
        <w:t xml:space="preserve">Je potrebno pri terapiji z </w:t>
      </w:r>
      <w:r>
        <w:rPr>
          <w:vertAlign w:val="superscript"/>
        </w:rPr>
        <w:t xml:space="preserve">32 </w:t>
      </w:r>
      <w:r>
        <w:t>P</w:t>
      </w:r>
      <w:r w:rsidR="00B04790">
        <w:t xml:space="preserve"> (Fosfor)</w:t>
      </w:r>
      <w:r>
        <w:t xml:space="preserve"> bolnike hospitalizirati?</w:t>
      </w:r>
    </w:p>
    <w:p w:rsidR="00CB7A7C" w:rsidRDefault="00CB7A7C" w:rsidP="00CB7A7C">
      <w:pPr>
        <w:pStyle w:val="ListParagraph"/>
      </w:pPr>
      <w:r>
        <w:t>Ne, če je aktivnost aplicirana manj kot 200Mbq lahko zapusti bolnišnico takoj.</w:t>
      </w: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Prednosti in slabosti tehnecija pri scintigrafiji ščitnice v primerjavi z jodom</w:t>
      </w:r>
      <w:r w:rsidR="00780C41">
        <w:t xml:space="preserve"> 131</w:t>
      </w:r>
    </w:p>
    <w:p w:rsidR="00780C41" w:rsidRDefault="00780C41" w:rsidP="00780C41">
      <w:pPr>
        <w:pStyle w:val="ListParagraph"/>
      </w:pPr>
      <w:r w:rsidRPr="00811A54">
        <w:rPr>
          <w:color w:val="FF0000"/>
        </w:rPr>
        <w:t>PREDNOSTI</w:t>
      </w:r>
      <w:r>
        <w:t>: primernejša E fotonov, odsotnost sevanja beta, kar ima prednost v 10krat manjšem obsevanju preiskovancev.</w:t>
      </w:r>
      <w:r w:rsidR="00811A54">
        <w:t xml:space="preserve"> </w:t>
      </w:r>
      <w:r w:rsidR="00811A54" w:rsidRPr="00811A54">
        <w:rPr>
          <w:color w:val="FF0000"/>
        </w:rPr>
        <w:t>SLABOSTI</w:t>
      </w:r>
      <w:r w:rsidR="00811A54">
        <w:t>: sorazmerno majhno kopičenje v ščitnici (max 8%, normalno 2%), jod se kopiči do 50%.</w:t>
      </w: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Efektivna doza na očesno lečo.</w:t>
      </w:r>
    </w:p>
    <w:p w:rsidR="00CB7A7C" w:rsidRDefault="00CB7A7C" w:rsidP="00CB7A7C">
      <w:pPr>
        <w:pStyle w:val="ListParagraph"/>
      </w:pPr>
      <w:r>
        <w:t>150 mSv</w:t>
      </w: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Poveži hipertirozo, hipoti</w:t>
      </w:r>
      <w:r w:rsidR="00A251D8">
        <w:t xml:space="preserve">rozo in evtirozo z vrednostmi; T3, </w:t>
      </w:r>
      <w:r>
        <w:t>T4</w:t>
      </w:r>
      <w:r w:rsidR="00A251D8">
        <w:t>, TSH normalen ali višji</w:t>
      </w:r>
    </w:p>
    <w:p w:rsidR="00A251D8" w:rsidRPr="008B25AD" w:rsidRDefault="006159E4" w:rsidP="00A251D8">
      <w:pPr>
        <w:pStyle w:val="ListParagraph"/>
      </w:pPr>
      <w:r>
        <w:rPr>
          <w:color w:val="FF0000"/>
        </w:rPr>
        <w:t xml:space="preserve">HIPERTIROZA: </w:t>
      </w:r>
      <w:r>
        <w:t xml:space="preserve">povečan </w:t>
      </w:r>
      <w:r w:rsidR="008B25AD">
        <w:t xml:space="preserve">ali normalen </w:t>
      </w:r>
      <w:r>
        <w:t>T3 in T4</w:t>
      </w:r>
      <w:r w:rsidR="008B25AD">
        <w:t xml:space="preserve"> + nižji TSH </w:t>
      </w:r>
      <w:r w:rsidR="008B25AD" w:rsidRPr="008B25AD">
        <w:rPr>
          <w:color w:val="FF0000"/>
        </w:rPr>
        <w:t>HIPOTIROZA:</w:t>
      </w:r>
      <w:r w:rsidR="008B25AD">
        <w:rPr>
          <w:color w:val="FF0000"/>
        </w:rPr>
        <w:t xml:space="preserve"> </w:t>
      </w:r>
      <w:r w:rsidR="008B25AD">
        <w:t xml:space="preserve">višji TSH + normalen ali nižji T3 in T4. </w:t>
      </w:r>
      <w:r w:rsidR="008B25AD">
        <w:rPr>
          <w:color w:val="FF0000"/>
        </w:rPr>
        <w:t xml:space="preserve">EVTIROZA: </w:t>
      </w:r>
      <w:r w:rsidR="008B25AD">
        <w:t xml:space="preserve"> normalen T3 in T4 + normalen TSH</w:t>
      </w:r>
    </w:p>
    <w:p w:rsidR="00A251D8" w:rsidRDefault="00A251D8" w:rsidP="00A251D8">
      <w:pPr>
        <w:pStyle w:val="ListParagraph"/>
      </w:pP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Matrika in zoom pri odš</w:t>
      </w:r>
      <w:r w:rsidR="00B722BB">
        <w:t>t</w:t>
      </w:r>
      <w:r>
        <w:t>evni scintigrafiji obščitnic</w:t>
      </w:r>
    </w:p>
    <w:p w:rsidR="001F2DE0" w:rsidRDefault="005E3D12" w:rsidP="001F2DE0">
      <w:pPr>
        <w:pStyle w:val="ListParagraph"/>
      </w:pPr>
      <w:r>
        <w:t>(128x128), zoom 2; 600MBq 99mTc MIBI</w:t>
      </w:r>
      <w:r w:rsidR="00973948">
        <w:t xml:space="preserve"> (2X STATIKA, po 10 min in 90 min po aplikaciji) nato še statika </w:t>
      </w:r>
      <w:r w:rsidR="00F3388C">
        <w:t xml:space="preserve">10min </w:t>
      </w:r>
      <w:r w:rsidR="00973948">
        <w:t>po aplikaciji 99mTc pertehnetat (150MBq</w:t>
      </w:r>
      <w:r w:rsidR="001F2DE0">
        <w:t>) in nato računalniško odštetje (ščitnice</w:t>
      </w:r>
      <w:bookmarkStart w:id="0" w:name="_GoBack"/>
      <w:bookmarkEnd w:id="0"/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Po koliko urah slikamo sredico nadledvične žleze z 131I MIBG.</w:t>
      </w:r>
    </w:p>
    <w:p w:rsidR="00330B4F" w:rsidRPr="00330B4F" w:rsidRDefault="00330B4F" w:rsidP="00330B4F">
      <w:pPr>
        <w:pStyle w:val="ListParagraph"/>
        <w:rPr>
          <w:color w:val="FF0000"/>
        </w:rPr>
      </w:pPr>
      <w:r w:rsidRPr="00330B4F">
        <w:rPr>
          <w:color w:val="FF0000"/>
        </w:rPr>
        <w:t>po 72 urah</w:t>
      </w: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Na kaj vežemo 131I za prikaz skorje nadledvične žleze?</w:t>
      </w:r>
    </w:p>
    <w:p w:rsidR="005D55D6" w:rsidRPr="005D55D6" w:rsidRDefault="005D55D6" w:rsidP="005D55D6">
      <w:pPr>
        <w:pStyle w:val="ListParagraph"/>
      </w:pPr>
      <w:r>
        <w:t xml:space="preserve">na </w:t>
      </w:r>
      <w:r w:rsidRPr="005D55D6">
        <w:rPr>
          <w:color w:val="FF0000"/>
        </w:rPr>
        <w:t>19-jodoholesterol</w:t>
      </w:r>
      <w:r>
        <w:rPr>
          <w:color w:val="FF0000"/>
        </w:rPr>
        <w:t xml:space="preserve"> </w:t>
      </w:r>
      <w:r>
        <w:t>(slikamo 2 dni po aplikaciji)</w:t>
      </w: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Katere enote se uporabljajo za SPECT/CT korekcijo atenuacije?</w:t>
      </w:r>
    </w:p>
    <w:p w:rsidR="009C45B4" w:rsidRDefault="00B04790" w:rsidP="009C45B4">
      <w:pPr>
        <w:pStyle w:val="ListParagraph"/>
      </w:pPr>
      <w:r>
        <w:t>Changova metoda (0,12/</w:t>
      </w:r>
      <w:r w:rsidR="009C45B4">
        <w:t>cm), linearne mape</w:t>
      </w:r>
    </w:p>
    <w:p w:rsidR="00CB7A7C" w:rsidRDefault="00C04E87" w:rsidP="00C04E87">
      <w:pPr>
        <w:pStyle w:val="ListParagraph"/>
        <w:numPr>
          <w:ilvl w:val="0"/>
          <w:numId w:val="3"/>
        </w:numPr>
      </w:pPr>
      <w:r>
        <w:t>Matrika pri Whole body trofazni scintigrafiji?</w:t>
      </w:r>
    </w:p>
    <w:p w:rsidR="00C04E87" w:rsidRDefault="00CB7A7C" w:rsidP="00CB7A7C">
      <w:pPr>
        <w:pStyle w:val="ListParagraph"/>
      </w:pPr>
      <w:r>
        <w:t>Tretja faza je to (256x256)</w:t>
      </w:r>
    </w:p>
    <w:p w:rsidR="00CB7A7C" w:rsidRDefault="00C04E87" w:rsidP="00C04E87">
      <w:pPr>
        <w:pStyle w:val="ListParagraph"/>
        <w:numPr>
          <w:ilvl w:val="0"/>
          <w:numId w:val="3"/>
        </w:numPr>
      </w:pPr>
      <w:r>
        <w:t xml:space="preserve">Način slikanja pri osteidnem sarkomu? </w:t>
      </w:r>
    </w:p>
    <w:p w:rsidR="00C04E87" w:rsidRDefault="00C04E87" w:rsidP="00CB7A7C">
      <w:pPr>
        <w:pStyle w:val="ListParagraph"/>
      </w:pPr>
      <w:r>
        <w:t>Trofazna scintigrafija</w:t>
      </w: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Kje uporabljamo okvarjene eritrocite?</w:t>
      </w:r>
    </w:p>
    <w:p w:rsidR="00CB7A7C" w:rsidRDefault="00CB7A7C" w:rsidP="00CB7A7C">
      <w:pPr>
        <w:pStyle w:val="ListParagraph"/>
      </w:pPr>
      <w:r>
        <w:t>Pri scintigrafiji vranice</w:t>
      </w:r>
    </w:p>
    <w:p w:rsidR="00C04E87" w:rsidRDefault="00C04E87" w:rsidP="00C04E87">
      <w:pPr>
        <w:pStyle w:val="ListParagraph"/>
        <w:numPr>
          <w:ilvl w:val="0"/>
          <w:numId w:val="3"/>
        </w:numPr>
      </w:pPr>
      <w:r>
        <w:t>Enodnevni protokol 99mTc-MIBI, s čim začneš in kakšna je aktivnost?</w:t>
      </w:r>
    </w:p>
    <w:p w:rsidR="00CB7A7C" w:rsidRDefault="00CB7A7C" w:rsidP="00CB7A7C">
      <w:pPr>
        <w:pStyle w:val="ListParagraph"/>
      </w:pPr>
      <w:r>
        <w:t>Začneš z obremenitvijo, nato apliciraš 300Mbq MIBI snemaš 45-60 min po aplikaciji, sledi mirovanje spet aplikacija 650Mbq MIBI in snemaš po 45 do 60 min.</w:t>
      </w:r>
    </w:p>
    <w:p w:rsidR="00C04E87" w:rsidRDefault="00B722BB" w:rsidP="00C04E87">
      <w:pPr>
        <w:pStyle w:val="ListParagraph"/>
        <w:numPr>
          <w:ilvl w:val="0"/>
          <w:numId w:val="3"/>
        </w:numPr>
      </w:pPr>
      <w:r>
        <w:t>Kako se aplicira RD pri malignem melanomu?</w:t>
      </w:r>
      <w:r w:rsidR="00CB7A7C">
        <w:br/>
      </w:r>
      <w:r>
        <w:t xml:space="preserve"> Intradermalno</w:t>
      </w:r>
    </w:p>
    <w:p w:rsidR="00B722BB" w:rsidRDefault="00B722BB" w:rsidP="00C04E87">
      <w:pPr>
        <w:pStyle w:val="ListParagraph"/>
        <w:numPr>
          <w:ilvl w:val="0"/>
          <w:numId w:val="3"/>
        </w:numPr>
      </w:pPr>
      <w:r>
        <w:t>Kaj dokazujemo s kaptoprilsko renografijo?</w:t>
      </w:r>
    </w:p>
    <w:p w:rsidR="00CB7A7C" w:rsidRDefault="00CB7A7C" w:rsidP="00CB7A7C">
      <w:pPr>
        <w:pStyle w:val="ListParagraph"/>
      </w:pPr>
      <w:r>
        <w:t>Renalno hipertenzijo (nastane lahko zaradi zapore renalne arterije)</w:t>
      </w:r>
    </w:p>
    <w:p w:rsidR="00B722BB" w:rsidRDefault="00B722BB" w:rsidP="00C04E87">
      <w:pPr>
        <w:pStyle w:val="ListParagraph"/>
        <w:numPr>
          <w:ilvl w:val="0"/>
          <w:numId w:val="3"/>
        </w:numPr>
      </w:pPr>
      <w:r>
        <w:t>Štiri indikacije za gama sondo</w:t>
      </w:r>
    </w:p>
    <w:p w:rsidR="00693BBC" w:rsidRDefault="00693BBC" w:rsidP="00693BBC">
      <w:pPr>
        <w:pStyle w:val="ListParagraph"/>
      </w:pPr>
      <w:r>
        <w:t>tumorji obščitnice, biopsija varovalnih bezgavk pri MM, operacije na dojkah, operacije NET</w:t>
      </w:r>
    </w:p>
    <w:p w:rsidR="00B722BB" w:rsidRDefault="00B722BB" w:rsidP="00C04E87">
      <w:pPr>
        <w:pStyle w:val="ListParagraph"/>
        <w:numPr>
          <w:ilvl w:val="0"/>
          <w:numId w:val="3"/>
        </w:numPr>
      </w:pPr>
      <w:r>
        <w:t>Kakšna je senzitivnost in specifičnost pri scintigrafiji skeleta?</w:t>
      </w:r>
    </w:p>
    <w:p w:rsidR="00CB7A7C" w:rsidRDefault="00CB7A7C" w:rsidP="00CB7A7C">
      <w:pPr>
        <w:pStyle w:val="ListParagraph"/>
      </w:pPr>
      <w:r>
        <w:t>Dobra senzitivnost, slaba specifičnost</w:t>
      </w:r>
    </w:p>
    <w:p w:rsidR="00B722BB" w:rsidRDefault="00CB7A7C" w:rsidP="00CB7A7C">
      <w:r>
        <w:t xml:space="preserve"> </w:t>
      </w:r>
    </w:p>
    <w:p w:rsidR="00B722BB" w:rsidRDefault="00B722BB" w:rsidP="00B722BB">
      <w:pPr>
        <w:pStyle w:val="ListParagraph"/>
      </w:pPr>
    </w:p>
    <w:sectPr w:rsidR="00B7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0B14"/>
    <w:multiLevelType w:val="multilevel"/>
    <w:tmpl w:val="51A45D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EA824E9"/>
    <w:multiLevelType w:val="multilevel"/>
    <w:tmpl w:val="FDB232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Diplomski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2EF40BC"/>
    <w:multiLevelType w:val="hybridMultilevel"/>
    <w:tmpl w:val="9A9E1E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87"/>
    <w:rsid w:val="00092EB3"/>
    <w:rsid w:val="00142921"/>
    <w:rsid w:val="001F2DE0"/>
    <w:rsid w:val="00330B4F"/>
    <w:rsid w:val="00335290"/>
    <w:rsid w:val="005D55D6"/>
    <w:rsid w:val="005E3D12"/>
    <w:rsid w:val="006159E4"/>
    <w:rsid w:val="00693BBC"/>
    <w:rsid w:val="00780C41"/>
    <w:rsid w:val="007965E6"/>
    <w:rsid w:val="008065BE"/>
    <w:rsid w:val="00811A54"/>
    <w:rsid w:val="008B25AD"/>
    <w:rsid w:val="00973948"/>
    <w:rsid w:val="009C45B4"/>
    <w:rsid w:val="00A251D8"/>
    <w:rsid w:val="00B04790"/>
    <w:rsid w:val="00B722BB"/>
    <w:rsid w:val="00C04E87"/>
    <w:rsid w:val="00CB7A7C"/>
    <w:rsid w:val="00E118E5"/>
    <w:rsid w:val="00F3388C"/>
    <w:rsid w:val="00F974A5"/>
    <w:rsid w:val="00F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A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A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znamliterature">
    <w:name w:val="Seznam literature"/>
    <w:basedOn w:val="ListParagraph"/>
    <w:autoRedefine/>
    <w:qFormat/>
    <w:rsid w:val="00335290"/>
    <w:pPr>
      <w:spacing w:after="320" w:line="360" w:lineRule="auto"/>
      <w:ind w:left="0"/>
      <w:contextualSpacing w:val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35290"/>
    <w:pPr>
      <w:ind w:left="720"/>
      <w:contextualSpacing/>
    </w:pPr>
  </w:style>
  <w:style w:type="paragraph" w:customStyle="1" w:styleId="Napistabela">
    <w:name w:val="Napis tabela"/>
    <w:basedOn w:val="Caption"/>
    <w:next w:val="Normal"/>
    <w:autoRedefine/>
    <w:qFormat/>
    <w:rsid w:val="007965E6"/>
    <w:pPr>
      <w:keepNext/>
      <w:spacing w:before="360" w:after="120"/>
      <w:jc w:val="center"/>
    </w:pPr>
    <w:rPr>
      <w:rFonts w:ascii="Times New Roman" w:hAnsi="Times New Roman"/>
      <w:color w:val="000000" w:themeColor="text1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65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iplomskinaslov2">
    <w:name w:val="Diplomski naslov 2"/>
    <w:basedOn w:val="Heading2"/>
    <w:next w:val="Normal"/>
    <w:autoRedefine/>
    <w:qFormat/>
    <w:rsid w:val="00F974A5"/>
    <w:pPr>
      <w:numPr>
        <w:numId w:val="2"/>
      </w:numPr>
      <w:spacing w:before="720" w:after="360" w:line="240" w:lineRule="auto"/>
    </w:pPr>
    <w:rPr>
      <w:rFonts w:ascii="Arial" w:hAnsi="Arial" w:cs="Arial"/>
      <w:b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iplomskinaslov1">
    <w:name w:val="Diplomski naslov 1"/>
    <w:basedOn w:val="Heading1"/>
    <w:next w:val="Normal"/>
    <w:autoRedefine/>
    <w:qFormat/>
    <w:rsid w:val="00F974A5"/>
    <w:pPr>
      <w:spacing w:before="0" w:after="360" w:line="240" w:lineRule="auto"/>
      <w:ind w:left="425" w:hanging="425"/>
    </w:pPr>
    <w:rPr>
      <w:rFonts w:ascii="Arial" w:hAnsi="Arial"/>
      <w:b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F97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VADNAPISAVA">
    <w:name w:val="NAVADNA PISAVA"/>
    <w:basedOn w:val="Normal"/>
    <w:autoRedefine/>
    <w:qFormat/>
    <w:rsid w:val="00FD6BE7"/>
    <w:pPr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A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A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znamliterature">
    <w:name w:val="Seznam literature"/>
    <w:basedOn w:val="ListParagraph"/>
    <w:autoRedefine/>
    <w:qFormat/>
    <w:rsid w:val="00335290"/>
    <w:pPr>
      <w:spacing w:after="320" w:line="360" w:lineRule="auto"/>
      <w:ind w:left="0"/>
      <w:contextualSpacing w:val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35290"/>
    <w:pPr>
      <w:ind w:left="720"/>
      <w:contextualSpacing/>
    </w:pPr>
  </w:style>
  <w:style w:type="paragraph" w:customStyle="1" w:styleId="Napistabela">
    <w:name w:val="Napis tabela"/>
    <w:basedOn w:val="Caption"/>
    <w:next w:val="Normal"/>
    <w:autoRedefine/>
    <w:qFormat/>
    <w:rsid w:val="007965E6"/>
    <w:pPr>
      <w:keepNext/>
      <w:spacing w:before="360" w:after="120"/>
      <w:jc w:val="center"/>
    </w:pPr>
    <w:rPr>
      <w:rFonts w:ascii="Times New Roman" w:hAnsi="Times New Roman"/>
      <w:color w:val="000000" w:themeColor="text1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65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iplomskinaslov2">
    <w:name w:val="Diplomski naslov 2"/>
    <w:basedOn w:val="Heading2"/>
    <w:next w:val="Normal"/>
    <w:autoRedefine/>
    <w:qFormat/>
    <w:rsid w:val="00F974A5"/>
    <w:pPr>
      <w:numPr>
        <w:numId w:val="2"/>
      </w:numPr>
      <w:spacing w:before="720" w:after="360" w:line="240" w:lineRule="auto"/>
    </w:pPr>
    <w:rPr>
      <w:rFonts w:ascii="Arial" w:hAnsi="Arial" w:cs="Arial"/>
      <w:b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iplomskinaslov1">
    <w:name w:val="Diplomski naslov 1"/>
    <w:basedOn w:val="Heading1"/>
    <w:next w:val="Normal"/>
    <w:autoRedefine/>
    <w:qFormat/>
    <w:rsid w:val="00F974A5"/>
    <w:pPr>
      <w:spacing w:before="0" w:after="360" w:line="240" w:lineRule="auto"/>
      <w:ind w:left="425" w:hanging="425"/>
    </w:pPr>
    <w:rPr>
      <w:rFonts w:ascii="Arial" w:hAnsi="Arial"/>
      <w:b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F97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VADNAPISAVA">
    <w:name w:val="NAVADNA PISAVA"/>
    <w:basedOn w:val="Normal"/>
    <w:autoRedefine/>
    <w:qFormat/>
    <w:rsid w:val="00FD6BE7"/>
    <w:p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Zalokar</dc:creator>
  <cp:keywords/>
  <dc:description/>
  <cp:lastModifiedBy>PRIMZL</cp:lastModifiedBy>
  <cp:revision>18</cp:revision>
  <dcterms:created xsi:type="dcterms:W3CDTF">2018-06-11T14:20:00Z</dcterms:created>
  <dcterms:modified xsi:type="dcterms:W3CDTF">2020-05-18T11:15:00Z</dcterms:modified>
</cp:coreProperties>
</file>