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BB" w:rsidRPr="003B3D50" w:rsidRDefault="005457BB" w:rsidP="00F142DB">
      <w:p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B3D50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NADZOR</w:t>
      </w:r>
    </w:p>
    <w:p w:rsidR="005457BB" w:rsidRPr="00294275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din </w:t>
      </w:r>
      <w:proofErr w:type="spellStart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iso</w:t>
      </w:r>
      <w:proofErr w:type="spellEnd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9000 al 9001,</w:t>
      </w:r>
    </w:p>
    <w:p w:rsidR="005457BB" w:rsidRPr="003B3D50" w:rsidRDefault="005457BB" w:rsidP="00370117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9000: temeljne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usmeritve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izbiro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uporabo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standardov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manegment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9001: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najširši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standard,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obravnava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elemente na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visokem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nivoju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zahtevnosti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( razvoj, konstruiranje,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preizkušanje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proizvodnja,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vgradnja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servisiranje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) 9002: na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nižjem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nivoju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obravnava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jamstvo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fazah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proizvodnje, montaže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vgradnje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( ne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vklučuje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razvoja, servisa) 9003: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obsega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preizkušanje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končno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kontrolo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porizvodov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9004: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obravnava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manegment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zagotavljanja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</w:p>
    <w:p w:rsidR="005457BB" w:rsidRPr="00294275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kakovost</w:t>
      </w:r>
      <w:proofErr w:type="spellEnd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definicija</w:t>
      </w:r>
    </w:p>
    <w:p w:rsidR="005457BB" w:rsidRDefault="005457BB" w:rsidP="00D06E5A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skupek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značilnosti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značilnih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vrednosti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nekega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proizvoda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storitve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glede na njegovo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primernost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izpopolnjevanje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točno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določenih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predpostavljenih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potreb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</w:t>
      </w:r>
    </w:p>
    <w:p w:rsidR="005457BB" w:rsidRDefault="005457BB" w:rsidP="00D06E5A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Kupec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postavlja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zahteve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oz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tržišče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torej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pomeni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optimalno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izpopolnjevanje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zahtev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tržišča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(kriterij: funkcionalnost,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zanesljivost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prijaznost do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okolja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cena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življenska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doba, čas dobave,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svetovanje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vzdrževanje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.)</w:t>
      </w:r>
    </w:p>
    <w:p w:rsidR="005457BB" w:rsidRPr="00294275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sistemi </w:t>
      </w:r>
      <w:proofErr w:type="spellStart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kakovosti</w:t>
      </w:r>
      <w:proofErr w:type="spellEnd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,</w:t>
      </w:r>
    </w:p>
    <w:p w:rsidR="005457BB" w:rsidRPr="003B3D50" w:rsidRDefault="005457BB" w:rsidP="00370117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standardi, DIN ISO (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deutsches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institut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fur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normung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(DIN)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international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organization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for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standardization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(ISO))  sistem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mora biti postavljen tako, da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imajo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predvidene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dejavnosti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le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prevenetivo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funkcij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to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pomeni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da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mogoče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morebitne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težave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odpravljati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že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prej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določenimi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ukrepi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Sistem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sistem odgovornosti, zato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morajo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biti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nosilci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sistema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ljudje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zaupajo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 svoje znanje.</w:t>
      </w:r>
    </w:p>
    <w:p w:rsidR="005457BB" w:rsidRPr="00294275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stroški</w:t>
      </w:r>
      <w:proofErr w:type="spellEnd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kakovosti</w:t>
      </w:r>
      <w:proofErr w:type="spellEnd"/>
    </w:p>
    <w:p w:rsidR="005457BB" w:rsidRPr="003B3D50" w:rsidRDefault="005457BB" w:rsidP="00901F89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mora biti sistem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merjenje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stroškov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informacije s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katerimi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dokažeš da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zmanjšanje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stroškov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 bistvu priložnost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povečanje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dobička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ne da bi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povečali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obseg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prodaje, ne da bi kupili novo opremo ali zaposlili nove ljudi.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Stroški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nastanejo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zaradi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zahtev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to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stroški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jih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povzročajo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ukrepu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preprečevanje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neskladnosti,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izvajanje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pregledov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Sistem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danes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osnovni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pogoj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nudenje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izdelavo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proizvodov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Zahteve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kupcev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vedno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večje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proizvodi pa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bolj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zahtevni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Prav tako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predpisi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razni normativi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čedalje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strožji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konkurenca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vedno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hujša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</w:t>
      </w:r>
    </w:p>
    <w:p w:rsidR="005457BB" w:rsidRPr="00294275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zagotavljanje</w:t>
      </w:r>
      <w:proofErr w:type="spellEnd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kakovosti</w:t>
      </w:r>
      <w:proofErr w:type="spellEnd"/>
    </w:p>
    <w:p w:rsidR="005457BB" w:rsidRDefault="005457BB" w:rsidP="00D06E5A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odgovorni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 organizaciji,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pomembno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vlogo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zagotavljanju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ustrezne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pa pade na pravilno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vodenje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Def: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zagotavljanje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skupek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dejavnosti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manegmenta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načrtovanja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upravljanja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preverjanja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Zagotavljanje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zajema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preverjanje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kakovosti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druge konceptne naloge</w:t>
      </w:r>
    </w:p>
    <w:p w:rsidR="005457BB" w:rsidRDefault="005457BB" w:rsidP="005D16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1325">
        <w:rPr>
          <w:rFonts w:ascii="Times New Roman" w:hAnsi="Times New Roman" w:cs="Times New Roman"/>
          <w:b/>
          <w:bCs/>
          <w:sz w:val="24"/>
          <w:szCs w:val="24"/>
        </w:rPr>
        <w:t xml:space="preserve">Kaj je </w:t>
      </w:r>
      <w:proofErr w:type="spellStart"/>
      <w:r w:rsidRPr="00511325">
        <w:rPr>
          <w:rFonts w:ascii="Times New Roman" w:hAnsi="Times New Roman" w:cs="Times New Roman"/>
          <w:b/>
          <w:bCs/>
          <w:sz w:val="24"/>
          <w:szCs w:val="24"/>
        </w:rPr>
        <w:t>management</w:t>
      </w:r>
      <w:proofErr w:type="spellEnd"/>
      <w:r w:rsidRPr="0051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1325">
        <w:rPr>
          <w:rFonts w:ascii="Times New Roman" w:hAnsi="Times New Roman" w:cs="Times New Roman"/>
          <w:b/>
          <w:bCs/>
          <w:sz w:val="24"/>
          <w:szCs w:val="24"/>
        </w:rPr>
        <w:t>kakovosti</w:t>
      </w:r>
      <w:proofErr w:type="spellEnd"/>
    </w:p>
    <w:p w:rsidR="00574472" w:rsidRDefault="00574472" w:rsidP="00574472">
      <w:pPr>
        <w:pStyle w:val="Odstavekseznama"/>
        <w:numPr>
          <w:ilvl w:val="0"/>
          <w:numId w:val="10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ISO 9004</w:t>
      </w:r>
      <w:r>
        <w:rPr>
          <w:sz w:val="24"/>
          <w:szCs w:val="24"/>
        </w:rPr>
        <w:t xml:space="preserve"> obravnava </w:t>
      </w:r>
      <w:proofErr w:type="spellStart"/>
      <w:r>
        <w:rPr>
          <w:sz w:val="24"/>
          <w:szCs w:val="24"/>
        </w:rPr>
        <w:t>menegement</w:t>
      </w:r>
      <w:proofErr w:type="spellEnd"/>
      <w:r>
        <w:rPr>
          <w:sz w:val="24"/>
          <w:szCs w:val="24"/>
        </w:rPr>
        <w:t xml:space="preserve">  zagotavljanja kakovosti.</w:t>
      </w:r>
      <w:r>
        <w:rPr>
          <w:sz w:val="24"/>
          <w:szCs w:val="24"/>
        </w:rPr>
        <w:t xml:space="preserve"> Sistem vodenja kakovosti- smernice za izboljšavo sposobnosti oz. delovanja. Zagotavlja nasvete izboljšave že razvitega sistema. Temelji na osmih načelih ki so: usmerjenost na stranke </w:t>
      </w:r>
      <w:proofErr w:type="spellStart"/>
      <w:r>
        <w:rPr>
          <w:sz w:val="24"/>
          <w:szCs w:val="24"/>
        </w:rPr>
        <w:t>oz.kupce</w:t>
      </w:r>
      <w:proofErr w:type="spellEnd"/>
      <w:r>
        <w:rPr>
          <w:sz w:val="24"/>
          <w:szCs w:val="24"/>
        </w:rPr>
        <w:t>, vodstvo,sodelovanje ljudi, procesni pristop, sistemski pristop k vodenju, nenehno izboljševanje, dejanski pristop k odločanju, vzajemno koristni odnosi z dobavitelji.</w:t>
      </w:r>
    </w:p>
    <w:p w:rsidR="00574472" w:rsidRPr="00892FBF" w:rsidRDefault="00574472" w:rsidP="00574472">
      <w:pPr>
        <w:rPr>
          <w:b/>
        </w:rPr>
      </w:pPr>
      <w:proofErr w:type="spellStart"/>
      <w:r w:rsidRPr="00892FBF">
        <w:rPr>
          <w:b/>
        </w:rPr>
        <w:t>Celovito</w:t>
      </w:r>
      <w:proofErr w:type="spellEnd"/>
      <w:r w:rsidRPr="00892FBF">
        <w:rPr>
          <w:b/>
        </w:rPr>
        <w:t xml:space="preserve"> </w:t>
      </w:r>
      <w:proofErr w:type="spellStart"/>
      <w:r w:rsidRPr="00892FBF">
        <w:rPr>
          <w:b/>
        </w:rPr>
        <w:t>obvladovanje</w:t>
      </w:r>
      <w:proofErr w:type="spellEnd"/>
      <w:r w:rsidRPr="00892FBF">
        <w:rPr>
          <w:b/>
        </w:rPr>
        <w:t xml:space="preserve"> </w:t>
      </w:r>
      <w:proofErr w:type="spellStart"/>
      <w:r w:rsidRPr="00892FBF">
        <w:rPr>
          <w:b/>
        </w:rPr>
        <w:t>kakovosti</w:t>
      </w:r>
      <w:proofErr w:type="spellEnd"/>
      <w:r w:rsidRPr="00892FBF">
        <w:rPr>
          <w:b/>
        </w:rPr>
        <w:t xml:space="preserve"> (Total </w:t>
      </w:r>
      <w:proofErr w:type="spellStart"/>
      <w:r w:rsidRPr="00892FBF">
        <w:rPr>
          <w:b/>
        </w:rPr>
        <w:t>Quality</w:t>
      </w:r>
      <w:proofErr w:type="spellEnd"/>
      <w:r w:rsidRPr="00892FBF">
        <w:rPr>
          <w:b/>
        </w:rPr>
        <w:t xml:space="preserve"> Management - TQM)</w:t>
      </w:r>
    </w:p>
    <w:p w:rsidR="00574472" w:rsidRPr="00892FBF" w:rsidRDefault="00574472" w:rsidP="00574472">
      <w:pPr>
        <w:jc w:val="both"/>
        <w:rPr>
          <w:rFonts w:ascii="Times New Roman" w:hAnsi="Times New Roman" w:cs="Times New Roman"/>
          <w:sz w:val="24"/>
          <w:szCs w:val="24"/>
        </w:rPr>
      </w:pPr>
      <w:r w:rsidRPr="00892FBF">
        <w:rPr>
          <w:rFonts w:ascii="Times New Roman" w:hAnsi="Times New Roman" w:cs="Times New Roman"/>
          <w:sz w:val="24"/>
          <w:szCs w:val="24"/>
        </w:rPr>
        <w:t xml:space="preserve">TQM je proces,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katerega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cilj je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nenehno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izboljševanje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poslovnih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procesov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podjetju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kar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dolgi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rok vodi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podjetje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v odličnost. TQM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dosegamo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z menedžmentom, s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cilji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, vizijo, s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popravnimi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preventivnimi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ukrepi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presojami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izobraževanjem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sodelovanjem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vseh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zaposlenih.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BF">
        <w:rPr>
          <w:rFonts w:ascii="Times New Roman" w:hAnsi="Times New Roman" w:cs="Times New Roman"/>
          <w:sz w:val="24"/>
          <w:szCs w:val="24"/>
        </w:rPr>
        <w:t xml:space="preserve">TQM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predtavlja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se nanaša na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celotno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organizacijo.</w:t>
      </w:r>
    </w:p>
    <w:p w:rsidR="00574472" w:rsidRPr="00892FBF" w:rsidRDefault="00574472" w:rsidP="00574472">
      <w:pPr>
        <w:jc w:val="both"/>
        <w:rPr>
          <w:rFonts w:ascii="Times New Roman" w:hAnsi="Times New Roman" w:cs="Times New Roman"/>
          <w:sz w:val="24"/>
          <w:szCs w:val="24"/>
        </w:rPr>
      </w:pPr>
      <w:r w:rsidRPr="00892FBF">
        <w:rPr>
          <w:rFonts w:ascii="Times New Roman" w:hAnsi="Times New Roman" w:cs="Times New Roman"/>
          <w:b/>
          <w:sz w:val="24"/>
          <w:szCs w:val="24"/>
        </w:rPr>
        <w:t xml:space="preserve">Osnovna načela TQM </w:t>
      </w:r>
      <w:proofErr w:type="spellStart"/>
      <w:r w:rsidRPr="00892FBF">
        <w:rPr>
          <w:rFonts w:ascii="Times New Roman" w:hAnsi="Times New Roman" w:cs="Times New Roman"/>
          <w:b/>
          <w:sz w:val="24"/>
          <w:szCs w:val="24"/>
        </w:rPr>
        <w:t>so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>:</w:t>
      </w:r>
    </w:p>
    <w:p w:rsidR="00574472" w:rsidRPr="00892FBF" w:rsidRDefault="00574472" w:rsidP="00574472">
      <w:pPr>
        <w:jc w:val="both"/>
        <w:rPr>
          <w:rFonts w:ascii="Times New Roman" w:hAnsi="Times New Roman" w:cs="Times New Roman"/>
          <w:sz w:val="24"/>
          <w:szCs w:val="24"/>
        </w:rPr>
      </w:pPr>
      <w:r w:rsidRPr="00892FBF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Usmerjenost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h kupcu (poznavanje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izpolnjevanje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kupca,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učinek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vodstva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sodelavcev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določa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koristi za kupca). </w:t>
      </w:r>
    </w:p>
    <w:p w:rsidR="00574472" w:rsidRPr="00892FBF" w:rsidRDefault="00574472" w:rsidP="00574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BF">
        <w:rPr>
          <w:rFonts w:ascii="Times New Roman" w:hAnsi="Times New Roman" w:cs="Times New Roman"/>
          <w:sz w:val="24"/>
          <w:szCs w:val="24"/>
        </w:rPr>
        <w:t xml:space="preserve">2. obnašanje vodstva ( vodstvo je odgovorno za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spodbuja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prepričuje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lastnim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izgledom,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delo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zaposlenih je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pomembno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cenjeno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>).</w:t>
      </w:r>
    </w:p>
    <w:p w:rsidR="00574472" w:rsidRPr="00892FBF" w:rsidRDefault="00574472" w:rsidP="00574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472" w:rsidRPr="00892FBF" w:rsidRDefault="00574472" w:rsidP="00574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BF">
        <w:rPr>
          <w:rFonts w:ascii="Times New Roman" w:hAnsi="Times New Roman" w:cs="Times New Roman"/>
          <w:sz w:val="24"/>
          <w:szCs w:val="24"/>
        </w:rPr>
        <w:t xml:space="preserve">3. preventivno obnašanje (organizacija je naravnana na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preprečevanje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napak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, razvita je strategija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kakovosti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merljivimi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cilji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določanje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ciljev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 xml:space="preserve"> je redno </w:t>
      </w:r>
      <w:proofErr w:type="spellStart"/>
      <w:r w:rsidRPr="00892FBF">
        <w:rPr>
          <w:rFonts w:ascii="Times New Roman" w:hAnsi="Times New Roman" w:cs="Times New Roman"/>
          <w:sz w:val="24"/>
          <w:szCs w:val="24"/>
        </w:rPr>
        <w:t>preverljivo</w:t>
      </w:r>
      <w:proofErr w:type="spellEnd"/>
      <w:r w:rsidRPr="00892FBF">
        <w:rPr>
          <w:rFonts w:ascii="Times New Roman" w:hAnsi="Times New Roman" w:cs="Times New Roman"/>
          <w:sz w:val="24"/>
          <w:szCs w:val="24"/>
        </w:rPr>
        <w:t>).</w:t>
      </w:r>
    </w:p>
    <w:p w:rsidR="00574472" w:rsidRPr="00892FBF" w:rsidRDefault="00574472" w:rsidP="00574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472" w:rsidRDefault="00574472" w:rsidP="00574472">
      <w:pPr>
        <w:pStyle w:val="Odstavekseznama"/>
        <w:spacing w:after="200" w:line="276" w:lineRule="auto"/>
        <w:ind w:left="0"/>
        <w:jc w:val="both"/>
        <w:rPr>
          <w:sz w:val="24"/>
          <w:szCs w:val="24"/>
        </w:rPr>
      </w:pPr>
      <w:r w:rsidRPr="00892FBF">
        <w:rPr>
          <w:rFonts w:ascii="Times New Roman" w:hAnsi="Times New Roman"/>
          <w:sz w:val="24"/>
          <w:szCs w:val="24"/>
        </w:rPr>
        <w:t>4. Usmerjenost k procesu (procesi brez napak omogočajo brezhibne izdelke in storitve, z rednimi meritvami lahko pravočasno odkrijemo napake, ugotovimo in odpravimo vzroke napak, skrajšamo trajanje ciklusov in stalno izboljšujemo proces).</w:t>
      </w:r>
    </w:p>
    <w:p w:rsidR="005457BB" w:rsidRDefault="005457BB" w:rsidP="005D16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1325">
        <w:rPr>
          <w:rFonts w:ascii="Times New Roman" w:hAnsi="Times New Roman" w:cs="Times New Roman"/>
          <w:b/>
          <w:bCs/>
          <w:sz w:val="24"/>
          <w:szCs w:val="24"/>
        </w:rPr>
        <w:t>Stroski</w:t>
      </w:r>
      <w:proofErr w:type="spellEnd"/>
      <w:r w:rsidRPr="0051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1325">
        <w:rPr>
          <w:rFonts w:ascii="Times New Roman" w:hAnsi="Times New Roman" w:cs="Times New Roman"/>
          <w:b/>
          <w:bCs/>
          <w:sz w:val="24"/>
          <w:szCs w:val="24"/>
        </w:rPr>
        <w:t>pregledov</w:t>
      </w:r>
      <w:proofErr w:type="spellEnd"/>
      <w:r w:rsidRPr="0051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1325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51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1325">
        <w:rPr>
          <w:rFonts w:ascii="Times New Roman" w:hAnsi="Times New Roman" w:cs="Times New Roman"/>
          <w:b/>
          <w:bCs/>
          <w:sz w:val="24"/>
          <w:szCs w:val="24"/>
        </w:rPr>
        <w:t>preizkusov</w:t>
      </w:r>
      <w:proofErr w:type="spellEnd"/>
    </w:p>
    <w:p w:rsidR="005457BB" w:rsidRPr="00060050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0050">
        <w:rPr>
          <w:rFonts w:ascii="Times New Roman" w:hAnsi="Times New Roman" w:cs="Times New Roman"/>
          <w:sz w:val="24"/>
          <w:szCs w:val="24"/>
        </w:rPr>
        <w:t xml:space="preserve">Ti </w:t>
      </w:r>
      <w:proofErr w:type="spellStart"/>
      <w:r w:rsidRPr="00060050">
        <w:rPr>
          <w:rFonts w:ascii="Times New Roman" w:hAnsi="Times New Roman" w:cs="Times New Roman"/>
          <w:sz w:val="24"/>
          <w:szCs w:val="24"/>
        </w:rPr>
        <w:t>stroški</w:t>
      </w:r>
      <w:proofErr w:type="spellEnd"/>
      <w:r w:rsidRPr="00060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050">
        <w:rPr>
          <w:rFonts w:ascii="Times New Roman" w:hAnsi="Times New Roman" w:cs="Times New Roman"/>
          <w:sz w:val="24"/>
          <w:szCs w:val="24"/>
        </w:rPr>
        <w:t>obsegajo</w:t>
      </w:r>
      <w:proofErr w:type="spellEnd"/>
      <w:r w:rsidRPr="00060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predvsem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preizkusno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opremo,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vzdrževanja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opreme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osebje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vhodni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pregledi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preizkusi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dobaviteljih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pregledi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preizkusi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procesom,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pregledi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preizkusi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funkcijski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preizkusi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skladiščenjem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pregled pakiranja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57BB" w:rsidRDefault="005457BB" w:rsidP="005D16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1325">
        <w:rPr>
          <w:rFonts w:ascii="Times New Roman" w:hAnsi="Times New Roman" w:cs="Times New Roman"/>
          <w:b/>
          <w:bCs/>
          <w:sz w:val="24"/>
          <w:szCs w:val="24"/>
        </w:rPr>
        <w:t>Stroski</w:t>
      </w:r>
      <w:proofErr w:type="spellEnd"/>
      <w:r w:rsidRPr="00511325">
        <w:rPr>
          <w:rFonts w:ascii="Times New Roman" w:hAnsi="Times New Roman" w:cs="Times New Roman"/>
          <w:b/>
          <w:bCs/>
          <w:sz w:val="24"/>
          <w:szCs w:val="24"/>
        </w:rPr>
        <w:t xml:space="preserve"> neskladnosti</w:t>
      </w:r>
    </w:p>
    <w:p w:rsidR="005457BB" w:rsidRPr="00060050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stroški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neskladnosti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nastajajo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kadar </w:t>
      </w:r>
      <w:proofErr w:type="spellStart"/>
      <w:r>
        <w:rPr>
          <w:rFonts w:ascii="Times New Roman" w:hAnsi="Times New Roman" w:cs="Times New Roman"/>
          <w:sz w:val="24"/>
          <w:szCs w:val="24"/>
        </w:rPr>
        <w:t>porizvodi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izpolnjujejo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Ti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organizacijo čista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izguba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Razlikujemo </w:t>
      </w:r>
      <w:proofErr w:type="spellStart"/>
      <w:r>
        <w:rPr>
          <w:rFonts w:ascii="Times New Roman" w:hAnsi="Times New Roman" w:cs="Times New Roman"/>
          <w:sz w:val="24"/>
          <w:szCs w:val="24"/>
        </w:rPr>
        <w:t>notranje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nastanejo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organizaciji med realizacijo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zunanjimi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pojavljajo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predaji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kupcu( </w:t>
      </w:r>
      <w:proofErr w:type="spellStart"/>
      <w:r>
        <w:rPr>
          <w:rFonts w:ascii="Times New Roman" w:hAnsi="Times New Roman" w:cs="Times New Roman"/>
          <w:sz w:val="24"/>
          <w:szCs w:val="24"/>
        </w:rPr>
        <w:t>jamsto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proizvod)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večji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negativni </w:t>
      </w:r>
      <w:proofErr w:type="spellStart"/>
      <w:r>
        <w:rPr>
          <w:rFonts w:ascii="Times New Roman" w:hAnsi="Times New Roman" w:cs="Times New Roman"/>
          <w:sz w:val="24"/>
          <w:szCs w:val="24"/>
        </w:rPr>
        <w:t>pomen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firmo, </w:t>
      </w:r>
      <w:proofErr w:type="spellStart"/>
      <w:r>
        <w:rPr>
          <w:rFonts w:ascii="Times New Roman" w:hAnsi="Times New Roman" w:cs="Times New Roman"/>
          <w:sz w:val="24"/>
          <w:szCs w:val="24"/>
        </w:rPr>
        <w:t>kot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dejanska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stroškov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 izmet, popravilo, </w:t>
      </w:r>
      <w:proofErr w:type="spellStart"/>
      <w:r>
        <w:rPr>
          <w:rFonts w:ascii="Times New Roman" w:hAnsi="Times New Roman" w:cs="Times New Roman"/>
          <w:sz w:val="24"/>
          <w:szCs w:val="24"/>
        </w:rPr>
        <w:t>zmanjšanje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dodatni pregledi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preizkusi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izpadi..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5457BB" w:rsidRDefault="005457BB" w:rsidP="005D16CC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iso</w:t>
      </w:r>
      <w:proofErr w:type="spellEnd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13485</w:t>
      </w:r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spellEnd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Iso</w:t>
      </w:r>
      <w:proofErr w:type="spellEnd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?</w:t>
      </w:r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22476</w:t>
      </w:r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?</w:t>
      </w:r>
    </w:p>
    <w:p w:rsidR="005457BB" w:rsidRPr="00AD60AE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lang w:val="sl-SI"/>
        </w:rPr>
      </w:pPr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13485: </w:t>
      </w:r>
      <w:r w:rsidRPr="00AD60AE">
        <w:rPr>
          <w:rFonts w:ascii="Times New Roman" w:hAnsi="Times New Roman" w:cs="Times New Roman"/>
          <w:color w:val="333333"/>
          <w:sz w:val="24"/>
          <w:szCs w:val="24"/>
          <w:lang w:val="sl-SI"/>
        </w:rPr>
        <w:t>Namenjen je zakonodajnim zahtevam medicinskih pripomočkov</w:t>
      </w:r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 xml:space="preserve"> Določa </w:t>
      </w:r>
      <w:r w:rsidRPr="00AD60AE">
        <w:rPr>
          <w:rFonts w:ascii="Times New Roman" w:hAnsi="Times New Roman" w:cs="Times New Roman"/>
          <w:color w:val="333333"/>
          <w:sz w:val="24"/>
          <w:szCs w:val="24"/>
          <w:lang w:val="sl-SI"/>
        </w:rPr>
        <w:t>zahteve za sisteme vodenja kakovosti</w:t>
      </w:r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 xml:space="preserve"> </w:t>
      </w:r>
      <w:r w:rsidRPr="00AD60AE">
        <w:rPr>
          <w:rFonts w:ascii="Times New Roman" w:hAnsi="Times New Roman" w:cs="Times New Roman"/>
          <w:color w:val="333333"/>
          <w:sz w:val="24"/>
          <w:szCs w:val="24"/>
          <w:lang w:val="sl-SI"/>
        </w:rPr>
        <w:t>Glavni cilj tega standarda je omogočiti zakonodajne zahteve za medicinske pripomočke za sisteme vodenja kakovosti</w:t>
      </w:r>
      <w:r w:rsidRPr="00AD60AE">
        <w:rPr>
          <w:rFonts w:ascii="Constantia" w:hAnsi="Constantia" w:cs="Constantia"/>
          <w:color w:val="000000"/>
          <w:sz w:val="52"/>
          <w:szCs w:val="52"/>
          <w:lang w:val="sl-SI" w:eastAsia="sl-SI"/>
        </w:rPr>
        <w:t xml:space="preserve"> </w:t>
      </w:r>
      <w:r w:rsidRPr="00AD60AE">
        <w:rPr>
          <w:rFonts w:ascii="Times New Roman" w:hAnsi="Times New Roman" w:cs="Times New Roman"/>
          <w:color w:val="333333"/>
          <w:sz w:val="24"/>
          <w:szCs w:val="24"/>
          <w:lang w:val="sl-SI"/>
        </w:rPr>
        <w:t>Temelji na ISO 9001</w:t>
      </w:r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 xml:space="preserve"> </w:t>
      </w:r>
      <w:r w:rsidRPr="00AD60AE">
        <w:rPr>
          <w:rFonts w:ascii="Times New Roman" w:hAnsi="Times New Roman" w:cs="Times New Roman"/>
          <w:color w:val="333333"/>
          <w:sz w:val="24"/>
          <w:szCs w:val="24"/>
          <w:lang w:val="sl-SI"/>
        </w:rPr>
        <w:t>SESTOJI IZ:</w:t>
      </w:r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 xml:space="preserve"> </w:t>
      </w:r>
      <w:r w:rsidRPr="00AD60AE">
        <w:rPr>
          <w:rFonts w:ascii="Times New Roman" w:hAnsi="Times New Roman" w:cs="Times New Roman"/>
          <w:color w:val="333333"/>
          <w:sz w:val="24"/>
          <w:szCs w:val="24"/>
          <w:lang w:val="sl-SI"/>
        </w:rPr>
        <w:t>Sistema vodenja kakovosti</w:t>
      </w:r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 xml:space="preserve"> </w:t>
      </w:r>
      <w:r w:rsidRPr="00AD60AE">
        <w:rPr>
          <w:rFonts w:ascii="Times New Roman" w:hAnsi="Times New Roman" w:cs="Times New Roman"/>
          <w:color w:val="333333"/>
          <w:sz w:val="24"/>
          <w:szCs w:val="24"/>
          <w:lang w:val="sl-SI"/>
        </w:rPr>
        <w:t>Odgovornosti vodstva</w:t>
      </w:r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 xml:space="preserve"> </w:t>
      </w:r>
      <w:r w:rsidRPr="00AD60AE">
        <w:rPr>
          <w:rFonts w:ascii="Times New Roman" w:hAnsi="Times New Roman" w:cs="Times New Roman"/>
          <w:color w:val="333333"/>
          <w:sz w:val="24"/>
          <w:szCs w:val="24"/>
          <w:lang w:val="sl-SI"/>
        </w:rPr>
        <w:t>Vodenja virov</w:t>
      </w:r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 xml:space="preserve"> </w:t>
      </w:r>
      <w:r w:rsidRPr="00AD60AE">
        <w:rPr>
          <w:rFonts w:ascii="Times New Roman" w:hAnsi="Times New Roman" w:cs="Times New Roman"/>
          <w:color w:val="333333"/>
          <w:sz w:val="24"/>
          <w:szCs w:val="24"/>
          <w:lang w:val="sl-SI"/>
        </w:rPr>
        <w:t>Realizacije proizvoda</w:t>
      </w:r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 xml:space="preserve"> </w:t>
      </w:r>
      <w:r w:rsidRPr="00AD60AE">
        <w:rPr>
          <w:rFonts w:ascii="Times New Roman" w:hAnsi="Times New Roman" w:cs="Times New Roman"/>
          <w:color w:val="333333"/>
          <w:sz w:val="24"/>
          <w:szCs w:val="24"/>
          <w:lang w:val="sl-SI"/>
        </w:rPr>
        <w:t>Merjenja, analize in izboljševanja</w:t>
      </w:r>
    </w:p>
    <w:p w:rsidR="005457BB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oznaka CE ( </w:t>
      </w:r>
      <w:proofErr w:type="spellStart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kateri</w:t>
      </w:r>
      <w:proofErr w:type="spellEnd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izdelki</w:t>
      </w:r>
      <w:proofErr w:type="spellEnd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nimajo</w:t>
      </w:r>
      <w:proofErr w:type="spellEnd"/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CE)</w:t>
      </w:r>
    </w:p>
    <w:p w:rsidR="005457BB" w:rsidRPr="008D42F4" w:rsidRDefault="005457BB" w:rsidP="008D42F4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je kratica v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prevodu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evropska skladnost, z oznako CE,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jo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najdemo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na proizvodu,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proizvajalec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izjavlja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da ta proizvod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izpolnjuje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bistvene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zahteve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varnost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zdravje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varovanje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okolja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jih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določa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evropska regulativa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oz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večina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tako imenovanih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direktiv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proizvode.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Omogoča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prost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pretok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blaga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znotraj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enotnega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trga EU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osnova nadzora za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umik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neskladnih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proizvodov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 trga. CE znak mora biti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viden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čitljiv,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neizbrisljiv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pritrjen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na proizvodu ali etiketi. ( ne označimo tekstila,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razen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če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varovalna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oprema,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varnostne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komponente,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vtičnice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vtiči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domačo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rabo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plinska dodatna oprema,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zobni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izdelki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pripomočke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namenjene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klinične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raziskave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za medicinske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pripomočke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izdelane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posameznega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uporabnika,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diagnostične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medicinske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pripomočke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ovrednotenje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delovanja.</w:t>
      </w:r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</w:t>
      </w:r>
      <w:proofErr w:type="spellEnd"/>
      <w:r w:rsidRPr="008D42F4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.)</w:t>
      </w:r>
    </w:p>
    <w:p w:rsidR="005457BB" w:rsidRPr="00294275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9427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ES izjava o skladnosti</w:t>
      </w:r>
    </w:p>
    <w:p w:rsidR="005457BB" w:rsidRPr="003B3D50" w:rsidRDefault="005457BB" w:rsidP="00294275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Je dokument, s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katerim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proizvajalec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prevzame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odgovornost za proizvod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izjavlja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da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izpolnjuje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bistvene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zahteve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zakonodaje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Razen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osebno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varovalno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opremo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nizkonapetostno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opremo izjava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nima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predpisane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oblike.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Kot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vodilo standard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sist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en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/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iec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17050. po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vzorcu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izjava A4 formata, v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več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jezikih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(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ang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slo.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.) navedeni ime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naslov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proizvajalca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naziv, tip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model proizvoda,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seriska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št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izdelave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seznam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upoštevanih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direktiv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uporabljenih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standardov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kraj, datum izdaje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podpis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odgovorne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osebe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</w:t>
      </w:r>
    </w:p>
    <w:p w:rsidR="005457BB" w:rsidRPr="00062E80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62E80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zdravstveno </w:t>
      </w:r>
      <w:proofErr w:type="spellStart"/>
      <w:r w:rsidRPr="00062E80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zavarovanje</w:t>
      </w:r>
      <w:proofErr w:type="spellEnd"/>
      <w:r w:rsidRPr="00062E80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- vrste, opis</w:t>
      </w:r>
    </w:p>
    <w:p w:rsidR="005457BB" w:rsidRPr="003B3D50" w:rsidRDefault="005457BB" w:rsidP="00294275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zdravstveno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zagotavja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zdravstveno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socialno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varnost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 času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bolezni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poškodbe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saj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pokriva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stroške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tveganja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primerih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zbolimo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se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poškodujemo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imamo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kakšne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druge zdravstvene potrebe. Osnovna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lastnost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zdravstvenega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je, da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pravive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vsakega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posameznika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od njega odvisnih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družinskih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članov vezane na prijavo v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plačilo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ustreznega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prispevka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–obvezno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ali premije-v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prostovoljnem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zdravstvenem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zavarovanju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(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prostovoljno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: 1.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prostovoljna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razliko do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polne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vrednosti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Storitev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jih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obvezno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ne krije v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celoti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dopolnilno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) 2.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prostovoljna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večji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obseg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pravic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višji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standard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storitev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kot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določeno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obveznem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zavarovanju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dodatne pravice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niso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zajete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-dodatna/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nadstandardna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)</w:t>
      </w:r>
    </w:p>
    <w:p w:rsidR="005457BB" w:rsidRPr="00062E80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62E80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obvezno zdravstveno </w:t>
      </w:r>
      <w:proofErr w:type="spellStart"/>
      <w:r w:rsidRPr="00062E80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zavarovanje</w:t>
      </w:r>
      <w:proofErr w:type="spellEnd"/>
    </w:p>
    <w:p w:rsidR="005457BB" w:rsidRDefault="005457BB" w:rsidP="00294275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izvaja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ZZZS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na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podlagi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zakona 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zdravstvenem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varstvu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zdravstvenem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zavarovanju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začel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delom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1.3.1992. obvezno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izvaja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po načelu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socialne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pravičnosti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solidarnosti med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zdravimi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bolnimi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starimi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mladimi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bogatimi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revnimi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predpisano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plačevanje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prispevkov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pri čemer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predpisano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tudi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kdo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zavezanec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plačevanje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tem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zavezanec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prijavo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osebe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 obvezno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vrsta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prispevka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osnova od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katere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se le ti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plačujejo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obseg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pravic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Obvezno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omogoča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zavarovanim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osebam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uveljavljanje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pravic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do zdravstvenih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storitev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zdravil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med.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pripomočkov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ter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denarnih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nadomestil</w:t>
      </w:r>
      <w:proofErr w:type="spellEnd"/>
    </w:p>
    <w:p w:rsidR="005457BB" w:rsidRDefault="005457BB" w:rsidP="00294275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</w:p>
    <w:p w:rsidR="005457BB" w:rsidRPr="003B3D50" w:rsidRDefault="005457BB" w:rsidP="00294275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</w:p>
    <w:p w:rsidR="005457BB" w:rsidRPr="00C47602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47602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garancijska doba</w:t>
      </w:r>
    </w:p>
    <w:p w:rsidR="005457BB" w:rsidRPr="003B3D50" w:rsidRDefault="005457BB" w:rsidP="006D4CB1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z dnem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oseba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prevzela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zobni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nadomestek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oz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bila opravljena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zobozdravstvena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storitev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prične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teči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garancijska doba. Od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teha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dne do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iztega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garancijske dobe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zobozdravnik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/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zobotehnik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dolžan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opraviti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potrebna popravila na svoj račun. (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zalivke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9mesecev,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prevleke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mostički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proteze-1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leto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) zavod v času garancijske dobe krije le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stroške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popravila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izdelave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novega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nadomestka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če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prišlo pri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osebi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do anatomskih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funkcionalnih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sprememb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pogojujejo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popravilo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nadomestka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izdelavo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novega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</w:t>
      </w:r>
    </w:p>
    <w:p w:rsidR="005457BB" w:rsidRPr="00C47602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C47602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trajnostna</w:t>
      </w:r>
      <w:proofErr w:type="spellEnd"/>
      <w:r w:rsidRPr="00C47602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doba</w:t>
      </w:r>
    </w:p>
    <w:p w:rsidR="005457BB" w:rsidRPr="00C47602" w:rsidRDefault="005457BB" w:rsidP="00C47602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lang w:val="sl-SI"/>
        </w:rPr>
      </w:pPr>
      <w:r w:rsidRPr="00C47602">
        <w:rPr>
          <w:rFonts w:ascii="Times New Roman" w:hAnsi="Times New Roman" w:cs="Times New Roman"/>
          <w:color w:val="333333"/>
          <w:sz w:val="24"/>
          <w:szCs w:val="24"/>
          <w:lang w:val="sl-SI"/>
        </w:rPr>
        <w:t>je obdobje, pred iztekom katerega zavarovanec ni upravičen do novega pripomočka v breme zdravstvenega zavarovanja</w:t>
      </w:r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>, začne teči  o</w:t>
      </w:r>
      <w:r w:rsidRPr="00C47602">
        <w:rPr>
          <w:rFonts w:ascii="Times New Roman" w:hAnsi="Times New Roman" w:cs="Times New Roman"/>
          <w:color w:val="333333"/>
          <w:sz w:val="24"/>
          <w:szCs w:val="24"/>
          <w:lang w:val="sl-SI"/>
        </w:rPr>
        <w:t>d dneva opravljene storitve oz od izročitve pripomočka</w:t>
      </w:r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 xml:space="preserve"> (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>vizilka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sl-SI"/>
        </w:rPr>
        <w:t>, estetske krone, mostički 7 let....)</w:t>
      </w:r>
    </w:p>
    <w:p w:rsidR="005457BB" w:rsidRPr="00511325" w:rsidRDefault="005457BB" w:rsidP="003B3D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medicinski </w:t>
      </w:r>
      <w:proofErr w:type="spellStart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propomocki</w:t>
      </w:r>
      <w:proofErr w:type="spellEnd"/>
    </w:p>
    <w:p w:rsidR="005457BB" w:rsidRDefault="005457BB" w:rsidP="00511325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Medicinski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pripomočki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instrumenti, aparati, sredstva,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materiali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drugi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izdelki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se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uporabljajo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sami ali v kombinaciji,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vključno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 programsko opremo, potrebno za njihovo pravilno uporabo,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jih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izdelovalec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namenil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humano uporabo za:</w:t>
      </w:r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diagnosticiranje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preprečevanje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spremljanje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zdravljenje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lajšanje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bolezni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;</w:t>
      </w:r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diagnosticiranje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spremljanje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nadzorovanje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zdravljenje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lajšanje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nadomeščanje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okvare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invalidnosti;</w:t>
      </w:r>
      <w:r w:rsidRPr="00F142DB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preskušanje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nadomeščanje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spreminjanje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anatomskih ali fizioloških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procesov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;</w:t>
      </w:r>
      <w:r w:rsidRPr="00F142D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nadzor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rojstev</w:t>
      </w:r>
      <w:proofErr w:type="spellEnd"/>
    </w:p>
    <w:p w:rsidR="005457BB" w:rsidRDefault="005457BB" w:rsidP="005D16CC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kaj </w:t>
      </w:r>
      <w:proofErr w:type="spellStart"/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niso</w:t>
      </w:r>
      <w:proofErr w:type="spellEnd"/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med. Proizvodi</w:t>
      </w:r>
    </w:p>
    <w:p w:rsidR="005457BB" w:rsidRPr="00511325" w:rsidRDefault="005457BB" w:rsidP="005D16CC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namenjeni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toaletni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kozmetični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namen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niso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MP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tudi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če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jih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uporablja za preventivo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bolezni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(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zobne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ščetke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nitke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plenice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higienski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vložki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kontaktne leče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omogočajo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menjavo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barve.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.)</w:t>
      </w:r>
    </w:p>
    <w:p w:rsidR="005457BB" w:rsidRDefault="005457BB" w:rsidP="005D16CC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delitev</w:t>
      </w:r>
      <w:proofErr w:type="spellEnd"/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medicinskih </w:t>
      </w:r>
      <w:proofErr w:type="spellStart"/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pripomočkov</w:t>
      </w:r>
      <w:proofErr w:type="spellEnd"/>
    </w:p>
    <w:p w:rsidR="005457BB" w:rsidRPr="00E422B6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lang w:val="sl-SI"/>
        </w:rPr>
      </w:pPr>
      <w:r w:rsidRPr="00E422B6">
        <w:rPr>
          <w:rFonts w:ascii="Times New Roman" w:hAnsi="Times New Roman" w:cs="Times New Roman"/>
          <w:color w:val="333333"/>
          <w:sz w:val="24"/>
          <w:szCs w:val="24"/>
          <w:lang w:val="sl-SI"/>
        </w:rPr>
        <w:t>Medicinske pripomočke delimo na:  - »splošne« medicinske pripomočke  - aktivne medicinske pripomočke za vsaditev ter  - in vitro diagnostične medicinske pripomočke</w:t>
      </w:r>
    </w:p>
    <w:p w:rsidR="005457BB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lang w:val="sl-SI"/>
        </w:rPr>
      </w:pPr>
      <w:r w:rsidRPr="00E422B6">
        <w:rPr>
          <w:rFonts w:ascii="Times New Roman" w:hAnsi="Times New Roman" w:cs="Times New Roman"/>
          <w:color w:val="333333"/>
          <w:sz w:val="24"/>
          <w:szCs w:val="24"/>
          <w:lang w:val="sl-SI"/>
        </w:rPr>
        <w:t xml:space="preserve">Razvrščamo jih glede na stopnjo tveganja za uporabnika, mesto in način uporabe, vezanost na vir energije, trajanje uporabe in druge lastnosti  </w:t>
      </w:r>
    </w:p>
    <w:p w:rsidR="005457BB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lang w:val="sl-SI"/>
        </w:rPr>
      </w:pPr>
      <w:r w:rsidRPr="00E422B6">
        <w:rPr>
          <w:rFonts w:ascii="Times New Roman" w:hAnsi="Times New Roman" w:cs="Times New Roman"/>
          <w:color w:val="333333"/>
          <w:sz w:val="24"/>
          <w:szCs w:val="24"/>
          <w:lang w:val="sl-SI"/>
        </w:rPr>
        <w:lastRenderedPageBreak/>
        <w:t xml:space="preserve">- razred I – medicinski pripomočki z nizko stopnjo tveganja za uporabnika; </w:t>
      </w:r>
    </w:p>
    <w:p w:rsidR="005457BB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lang w:val="sl-SI"/>
        </w:rPr>
      </w:pPr>
      <w:r w:rsidRPr="00E422B6">
        <w:rPr>
          <w:rFonts w:ascii="Times New Roman" w:hAnsi="Times New Roman" w:cs="Times New Roman"/>
          <w:color w:val="333333"/>
          <w:sz w:val="24"/>
          <w:szCs w:val="24"/>
          <w:lang w:val="sl-SI"/>
        </w:rPr>
        <w:t>- razred II a – medicinski pripomočki z višjo stopnjo tveganja za uporabnika;</w:t>
      </w:r>
    </w:p>
    <w:p w:rsidR="005457BB" w:rsidRPr="00E422B6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lang w:val="sl-SI"/>
        </w:rPr>
      </w:pPr>
      <w:r w:rsidRPr="00E422B6">
        <w:rPr>
          <w:rFonts w:ascii="Times New Roman" w:hAnsi="Times New Roman" w:cs="Times New Roman"/>
          <w:color w:val="333333"/>
          <w:sz w:val="24"/>
          <w:szCs w:val="24"/>
          <w:lang w:val="sl-SI"/>
        </w:rPr>
        <w:t>- razred II b – medicinski pripomočki z visoko stopnjo tveganja za uporabnika;</w:t>
      </w:r>
    </w:p>
    <w:p w:rsidR="005457BB" w:rsidRPr="00E422B6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  <w:lang w:val="sl-SI"/>
        </w:rPr>
      </w:pPr>
      <w:r w:rsidRPr="00E422B6">
        <w:rPr>
          <w:rFonts w:ascii="Times New Roman" w:hAnsi="Times New Roman" w:cs="Times New Roman"/>
          <w:color w:val="333333"/>
          <w:sz w:val="24"/>
          <w:szCs w:val="24"/>
          <w:lang w:val="sl-SI"/>
        </w:rPr>
        <w:t>- razred III – medicinski pripomočki z najvišjo stopnjo tveganja za uporabnika.</w:t>
      </w:r>
    </w:p>
    <w:p w:rsidR="005457BB" w:rsidRDefault="005457BB" w:rsidP="005D16CC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zahteve</w:t>
      </w:r>
      <w:proofErr w:type="spellEnd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za izdajo medicinskih </w:t>
      </w:r>
      <w:proofErr w:type="spellStart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pripomočkov</w:t>
      </w:r>
      <w:proofErr w:type="spellEnd"/>
    </w:p>
    <w:p w:rsidR="005457BB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42F4">
        <w:rPr>
          <w:rFonts w:ascii="Times New Roman" w:hAnsi="Times New Roman" w:cs="Times New Roman"/>
          <w:sz w:val="24"/>
          <w:szCs w:val="24"/>
        </w:rPr>
        <w:t xml:space="preserve">Medicinski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pripomočki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dajejo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na trg ali v uporabo ali se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začnejo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uporabljati,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izpolnjujejo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zahteve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iz tega zakona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na njegovi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podlagi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izdanih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kadar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ustrezno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dobavljeni, pravilno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nameščeni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vzdrževani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uporabljeni v skladu s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predvidenim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namenom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. Medicinski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pripomočki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morajo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ustrezati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bistvenim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zahtevam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splošne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posebne. –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načrtovani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izdelani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vgrajeni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vzdrževani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uporabljeni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morajo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biti tako, da pri uporabi pod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pogoji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namen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katerega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izdelani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ogrožajo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kliničnega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stanja ali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varnosti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bolnikov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varnosti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zdravja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uporabnikov ali drugih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oseb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zagotovljeno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da je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vsako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morebitno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tveganje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, povezano z njihovo uporabo,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sprejemljivo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primerjavi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koristjo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bolnika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združljivo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z visoko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ravnijo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zaščite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zdravja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F4">
        <w:rPr>
          <w:rFonts w:ascii="Times New Roman" w:hAnsi="Times New Roman" w:cs="Times New Roman"/>
          <w:sz w:val="24"/>
          <w:szCs w:val="24"/>
        </w:rPr>
        <w:t>varnosti</w:t>
      </w:r>
      <w:proofErr w:type="spellEnd"/>
    </w:p>
    <w:p w:rsidR="005457BB" w:rsidRPr="004E60B7" w:rsidRDefault="005457BB" w:rsidP="005D16CC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sz w:val="24"/>
          <w:szCs w:val="24"/>
        </w:rPr>
      </w:pPr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reklamacija medicinskih </w:t>
      </w:r>
      <w:proofErr w:type="spellStart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pripomočkov</w:t>
      </w:r>
      <w:proofErr w:type="spellEnd"/>
    </w:p>
    <w:p w:rsidR="005457BB" w:rsidRPr="004E60B7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če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pride do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poškodovanja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uničenja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izgube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nadomestka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po krivdi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osebe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mora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stroške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popravil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izdelave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novega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kriti sama.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Okvare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pripomočka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med garancijsko dobo,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niso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posledica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neustreznega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ravnanja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zavarovane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osebe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mora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odpraviti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proizvajalec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oziroma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prodajalec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popravilom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zamenjavo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na svoj račun. Do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izteka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trajnostne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dobe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izdelka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izvajalec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dolžan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opraviti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morebitna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popravila.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Stroške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zamenjave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popravila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sme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zaračunati zavodu le,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če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je prišlo do anatomskih ali funkcionalnih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sprememb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povzročile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poškodovanje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prelom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pripomočka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</w:t>
      </w:r>
    </w:p>
    <w:p w:rsidR="005457BB" w:rsidRDefault="005457BB" w:rsidP="001305F5">
      <w:pPr>
        <w:numPr>
          <w:ilvl w:val="0"/>
          <w:numId w:val="4"/>
        </w:numPr>
        <w:tabs>
          <w:tab w:val="clear" w:pos="1080"/>
          <w:tab w:val="num" w:pos="720"/>
        </w:tabs>
        <w:spacing w:after="0" w:line="240" w:lineRule="auto"/>
        <w:ind w:left="720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zdravilo</w:t>
      </w:r>
    </w:p>
    <w:p w:rsidR="005457BB" w:rsidRPr="001305F5" w:rsidRDefault="005457BB" w:rsidP="001305F5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r w:rsidRPr="001305F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zdravilo </w:t>
      </w:r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vsaka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snov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kombinacija snovi,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predstavljene z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lastnosti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zdravljenje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preprečevanje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bolezni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ljudeh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živalih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. Za zdravilo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velja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tudi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vsaka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snov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kombinacija snovi,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lahko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uporablja pri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ljudeh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živalih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namenom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da bi se ponovno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vzpostavile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izboljšale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spremenile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fiziološke funkcije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prek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farmakološkega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imunološkega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presnovnega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delovanja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se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določila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diagnoza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</w:t>
      </w:r>
    </w:p>
    <w:p w:rsidR="005457BB" w:rsidRPr="00511325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kozmetični</w:t>
      </w:r>
      <w:proofErr w:type="spellEnd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proizvod</w:t>
      </w:r>
    </w:p>
    <w:p w:rsidR="005457BB" w:rsidRPr="003B3D50" w:rsidRDefault="005457BB" w:rsidP="00511325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Kozmetični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proizvodi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snovi ali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pripravki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namenjeni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nanašanju na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zunanje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dele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človeškega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telesa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povrhnjico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lasišče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nohte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ustnice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zunanja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spolovila) ali na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zobe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sluznico v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ustni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votlini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da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jih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očistijo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odišavijo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zaščitijo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jih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ohranijo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dobrem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stanju,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spremenijo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njihov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videz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odpravijo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neprijeten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telesni</w:t>
      </w:r>
      <w:proofErr w:type="spellEnd"/>
      <w:r w:rsidRPr="00F142DB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vonj.</w:t>
      </w:r>
    </w:p>
    <w:p w:rsidR="005457BB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biocidni</w:t>
      </w:r>
      <w:proofErr w:type="spellEnd"/>
      <w:r w:rsidRPr="00511325"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proizvod</w:t>
      </w:r>
    </w:p>
    <w:p w:rsidR="005457BB" w:rsidRDefault="005457BB" w:rsidP="00511325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aktivne snovi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pripravki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vsebujejo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eno ali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več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aktivnih snovi, pripravljeni v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obliki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v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kakršni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se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dobavljajo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uporabniki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so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namenjeni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da se z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njimi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mkemično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ali biološko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odvrača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uničuje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, naredi neškodljivo ali kako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drugače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prepreči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škodljivo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delovanje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škodljivega</w:t>
      </w:r>
      <w:proofErr w:type="spellEnd"/>
      <w:r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organizma.</w:t>
      </w:r>
    </w:p>
    <w:p w:rsidR="005457BB" w:rsidRDefault="005457BB" w:rsidP="003B3D50">
      <w:pPr>
        <w:numPr>
          <w:ilvl w:val="0"/>
          <w:numId w:val="1"/>
        </w:numPr>
        <w:spacing w:after="0" w:line="240" w:lineRule="auto"/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osebna</w:t>
      </w:r>
      <w:proofErr w:type="spellEnd"/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>varovalna</w:t>
      </w:r>
      <w:proofErr w:type="spellEnd"/>
      <w:r>
        <w:rPr>
          <w:rStyle w:val="uficommentbody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oprema</w:t>
      </w:r>
    </w:p>
    <w:p w:rsidR="005457BB" w:rsidRPr="00511325" w:rsidRDefault="005457BB" w:rsidP="00511325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vsaka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naprava ali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pripomoček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ki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jo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posameznik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nosi ali drži zaradi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varovanja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pred eno ali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več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nevarnostmi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za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zdravje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in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varnost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oseb</w:t>
      </w:r>
      <w:proofErr w:type="spellEnd"/>
      <w:r w:rsidRPr="00511325">
        <w:rPr>
          <w:rStyle w:val="uficommentbody"/>
          <w:rFonts w:ascii="Times New Roman" w:hAnsi="Times New Roman" w:cs="Times New Roman"/>
          <w:color w:val="333333"/>
          <w:sz w:val="24"/>
          <w:szCs w:val="24"/>
        </w:rPr>
        <w:t>.</w:t>
      </w:r>
    </w:p>
    <w:p w:rsidR="005457BB" w:rsidRPr="00062E80" w:rsidRDefault="005457BB" w:rsidP="003B3D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62E80">
        <w:rPr>
          <w:rFonts w:ascii="Times New Roman" w:hAnsi="Times New Roman" w:cs="Times New Roman"/>
          <w:b/>
          <w:bCs/>
          <w:sz w:val="24"/>
          <w:szCs w:val="24"/>
        </w:rPr>
        <w:t>kdo</w:t>
      </w:r>
      <w:proofErr w:type="spellEnd"/>
      <w:r w:rsidRPr="00062E80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062E80">
        <w:rPr>
          <w:rFonts w:ascii="Times New Roman" w:hAnsi="Times New Roman" w:cs="Times New Roman"/>
          <w:b/>
          <w:bCs/>
          <w:sz w:val="24"/>
          <w:szCs w:val="24"/>
        </w:rPr>
        <w:t>upravičen</w:t>
      </w:r>
      <w:proofErr w:type="spellEnd"/>
      <w:r w:rsidRPr="00062E80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062E80">
        <w:rPr>
          <w:rFonts w:ascii="Times New Roman" w:hAnsi="Times New Roman" w:cs="Times New Roman"/>
          <w:b/>
          <w:bCs/>
          <w:sz w:val="24"/>
          <w:szCs w:val="24"/>
        </w:rPr>
        <w:t>zobozdravstvenih</w:t>
      </w:r>
      <w:proofErr w:type="spellEnd"/>
      <w:r w:rsidRPr="00062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E80">
        <w:rPr>
          <w:rFonts w:ascii="Times New Roman" w:hAnsi="Times New Roman" w:cs="Times New Roman"/>
          <w:b/>
          <w:bCs/>
          <w:sz w:val="24"/>
          <w:szCs w:val="24"/>
        </w:rPr>
        <w:t>storitev</w:t>
      </w:r>
      <w:proofErr w:type="spellEnd"/>
      <w:r w:rsidRPr="00062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E80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062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E80">
        <w:rPr>
          <w:rFonts w:ascii="Times New Roman" w:hAnsi="Times New Roman" w:cs="Times New Roman"/>
          <w:b/>
          <w:bCs/>
          <w:sz w:val="24"/>
          <w:szCs w:val="24"/>
        </w:rPr>
        <w:t>katere</w:t>
      </w:r>
      <w:proofErr w:type="spellEnd"/>
      <w:r w:rsidRPr="00062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E80">
        <w:rPr>
          <w:rFonts w:ascii="Times New Roman" w:hAnsi="Times New Roman" w:cs="Times New Roman"/>
          <w:b/>
          <w:bCs/>
          <w:sz w:val="24"/>
          <w:szCs w:val="24"/>
        </w:rPr>
        <w:t>so</w:t>
      </w:r>
      <w:proofErr w:type="spellEnd"/>
      <w:r w:rsidRPr="00062E80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</w:p>
    <w:p w:rsidR="005457BB" w:rsidRPr="003B3D50" w:rsidRDefault="005457BB" w:rsidP="00062E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zavarovane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izpolnjujejo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medicinske kriterije za izvedbo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storitev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 izvedbi fiksne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snemne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protetike </w:t>
      </w:r>
      <w:proofErr w:type="spellStart"/>
      <w:r>
        <w:rPr>
          <w:rFonts w:ascii="Times New Roman" w:hAnsi="Times New Roman" w:cs="Times New Roman"/>
          <w:sz w:val="24"/>
          <w:szCs w:val="24"/>
        </w:rPr>
        <w:t>obstaja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predhodnega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zavarovanja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poškodb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 </w:t>
      </w:r>
      <w:proofErr w:type="spellStart"/>
      <w:r>
        <w:rPr>
          <w:rFonts w:ascii="Times New Roman" w:hAnsi="Times New Roman" w:cs="Times New Roman"/>
          <w:sz w:val="24"/>
          <w:szCs w:val="24"/>
        </w:rPr>
        <w:t>delu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poklicne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bolezni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Pravico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ortodontskega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zdravljenja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odstranjevanja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čiščenja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oblog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dopoljnjenega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leta starosti, po </w:t>
      </w:r>
      <w:proofErr w:type="spellStart"/>
      <w:r>
        <w:rPr>
          <w:rFonts w:ascii="Times New Roman" w:hAnsi="Times New Roman" w:cs="Times New Roman"/>
          <w:sz w:val="24"/>
          <w:szCs w:val="24"/>
        </w:rPr>
        <w:t>tej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starosti pa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pravico le </w:t>
      </w:r>
      <w:proofErr w:type="spellStart"/>
      <w:r>
        <w:rPr>
          <w:rFonts w:ascii="Times New Roman" w:hAnsi="Times New Roman" w:cs="Times New Roman"/>
          <w:sz w:val="24"/>
          <w:szCs w:val="24"/>
        </w:rPr>
        <w:t>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kadar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pričeto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ortodontsko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zdravljenje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 bilo končano do 18 leta. </w:t>
      </w:r>
      <w:proofErr w:type="spellStart"/>
      <w:r>
        <w:rPr>
          <w:rFonts w:ascii="Times New Roman" w:hAnsi="Times New Roman" w:cs="Times New Roman"/>
          <w:sz w:val="24"/>
          <w:szCs w:val="24"/>
        </w:rPr>
        <w:t>Zavarovane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18 leta starosti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študentje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obveznim </w:t>
      </w:r>
      <w:proofErr w:type="spellStart"/>
      <w:r>
        <w:rPr>
          <w:rFonts w:ascii="Times New Roman" w:hAnsi="Times New Roman" w:cs="Times New Roman"/>
          <w:sz w:val="24"/>
          <w:szCs w:val="24"/>
        </w:rPr>
        <w:t>šolanjem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zadnjih petih </w:t>
      </w:r>
      <w:proofErr w:type="spellStart"/>
      <w:r>
        <w:rPr>
          <w:rFonts w:ascii="Times New Roman" w:hAnsi="Times New Roman" w:cs="Times New Roman"/>
          <w:sz w:val="24"/>
          <w:szCs w:val="24"/>
        </w:rPr>
        <w:t>letih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redno </w:t>
      </w:r>
      <w:proofErr w:type="spellStart"/>
      <w:r>
        <w:rPr>
          <w:rFonts w:ascii="Times New Roman" w:hAnsi="Times New Roman" w:cs="Times New Roman"/>
          <w:sz w:val="24"/>
          <w:szCs w:val="24"/>
        </w:rPr>
        <w:t>udeleževali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zobozdravstvenih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pregledov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Posebni kriteriji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fiksno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snemno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protetične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nadomestke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57BB" w:rsidRDefault="005457BB" w:rsidP="005D16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1325">
        <w:rPr>
          <w:rFonts w:ascii="Times New Roman" w:hAnsi="Times New Roman" w:cs="Times New Roman"/>
          <w:b/>
          <w:bCs/>
          <w:sz w:val="24"/>
          <w:szCs w:val="24"/>
        </w:rPr>
        <w:t xml:space="preserve">Kaj je </w:t>
      </w:r>
      <w:proofErr w:type="spellStart"/>
      <w:r w:rsidRPr="00511325">
        <w:rPr>
          <w:rFonts w:ascii="Times New Roman" w:hAnsi="Times New Roman" w:cs="Times New Roman"/>
          <w:b/>
          <w:bCs/>
          <w:sz w:val="24"/>
          <w:szCs w:val="24"/>
        </w:rPr>
        <w:t>vigilanca</w:t>
      </w:r>
      <w:proofErr w:type="spellEnd"/>
    </w:p>
    <w:p w:rsidR="005457BB" w:rsidRPr="005F527D" w:rsidRDefault="005457BB" w:rsidP="005D16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527D">
        <w:rPr>
          <w:rFonts w:ascii="Times New Roman" w:hAnsi="Times New Roman" w:cs="Times New Roman"/>
          <w:sz w:val="24"/>
          <w:szCs w:val="24"/>
        </w:rPr>
        <w:t>Izraz "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vigilanca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nadomešča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sedaj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uveljavljen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izraz "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spremljanje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neželenih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učinkov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medicinskih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pripomočkov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Vigilanca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je sistem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ugotavljanja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, zbiranja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vrednotenja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zapletov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drugih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spoznanj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varnosti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medicinskih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pripomočkov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ukrepanje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primeru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tveganja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. Sistem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vigilance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morajo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vzdrževati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proizvajalci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predstavniki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proizvajalcev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medicinskih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pripomočkov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zapletih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poročati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organu,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pristojnemu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za medicinske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pripomočke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. Ravno tako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zapletih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dolžni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poročati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izvajalci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zdravstvene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lekarniške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7D">
        <w:rPr>
          <w:rFonts w:ascii="Times New Roman" w:hAnsi="Times New Roman" w:cs="Times New Roman"/>
          <w:sz w:val="24"/>
          <w:szCs w:val="24"/>
        </w:rPr>
        <w:t>dejavnosti</w:t>
      </w:r>
      <w:proofErr w:type="spellEnd"/>
      <w:r w:rsidRPr="005F527D">
        <w:rPr>
          <w:rFonts w:ascii="Times New Roman" w:hAnsi="Times New Roman" w:cs="Times New Roman"/>
          <w:sz w:val="24"/>
          <w:szCs w:val="24"/>
        </w:rPr>
        <w:t>.</w:t>
      </w:r>
    </w:p>
    <w:p w:rsidR="005457BB" w:rsidRPr="003C2163" w:rsidRDefault="005457BB" w:rsidP="003C216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l-SI" w:eastAsia="sl-SI"/>
        </w:rPr>
      </w:pPr>
      <w:r w:rsidRPr="003C2163">
        <w:rPr>
          <w:rFonts w:ascii="Times New Roman" w:hAnsi="Times New Roman" w:cs="Times New Roman"/>
          <w:b/>
          <w:bCs/>
          <w:sz w:val="24"/>
          <w:szCs w:val="24"/>
          <w:lang w:val="sl-SI" w:eastAsia="sl-SI"/>
        </w:rPr>
        <w:t>Standard</w:t>
      </w:r>
    </w:p>
    <w:p w:rsidR="005457BB" w:rsidRPr="003C2163" w:rsidRDefault="005457BB" w:rsidP="003C21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l-SI" w:eastAsia="sl-SI"/>
        </w:rPr>
      </w:pPr>
      <w:r w:rsidRPr="003C2163">
        <w:rPr>
          <w:rFonts w:ascii="Times New Roman" w:hAnsi="Times New Roman" w:cs="Times New Roman"/>
          <w:sz w:val="24"/>
          <w:szCs w:val="24"/>
          <w:lang w:val="sl-SI" w:eastAsia="sl-SI"/>
        </w:rPr>
        <w:t>je dokument, ki nastane s konsenzom in ga odobri priznani organ, ki določa pravila, smernice ali značilnosti za dejavnosti ter njihove rezultate in je namenjen za občo ter večkratno uporabo, usmerjen pa v doseganje op</w:t>
      </w:r>
    </w:p>
    <w:p w:rsidR="005457BB" w:rsidRPr="003C2163" w:rsidRDefault="005457BB" w:rsidP="003C21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l-SI" w:eastAsia="sl-SI"/>
        </w:rPr>
      </w:pPr>
      <w:proofErr w:type="spellStart"/>
      <w:r w:rsidRPr="003C2163">
        <w:rPr>
          <w:rFonts w:ascii="Times New Roman" w:hAnsi="Times New Roman" w:cs="Times New Roman"/>
          <w:sz w:val="24"/>
          <w:szCs w:val="24"/>
          <w:lang w:val="sl-SI" w:eastAsia="sl-SI"/>
        </w:rPr>
        <w:t>timalne</w:t>
      </w:r>
      <w:proofErr w:type="spellEnd"/>
      <w:r w:rsidRPr="003C2163">
        <w:rPr>
          <w:rFonts w:ascii="Times New Roman" w:hAnsi="Times New Roman" w:cs="Times New Roman"/>
          <w:sz w:val="24"/>
          <w:szCs w:val="24"/>
          <w:lang w:val="sl-SI" w:eastAsia="sl-SI"/>
        </w:rPr>
        <w:t xml:space="preserve"> stopnje urejenosti na danem področju. Standardi so tako zapisani sporazumi, ki temeljijo na priznanih rezultatih znanosti, tehnike in izkušenj. Namen standardov je, da se zagotovi usklajenost materialov,  proizvodov, procesov, storitev z zahtevami standarda in jih je treba dosledno upoštevati</w:t>
      </w:r>
    </w:p>
    <w:p w:rsidR="005457BB" w:rsidRPr="003C2163" w:rsidRDefault="005457BB" w:rsidP="00170B6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511325">
        <w:rPr>
          <w:rFonts w:ascii="Times New Roman" w:hAnsi="Times New Roman" w:cs="Times New Roman"/>
          <w:b/>
          <w:bCs/>
          <w:sz w:val="24"/>
          <w:szCs w:val="24"/>
        </w:rPr>
        <w:t>Fluktulacija</w:t>
      </w:r>
      <w:proofErr w:type="spellEnd"/>
    </w:p>
    <w:p w:rsidR="005457BB" w:rsidRPr="003C2163" w:rsidRDefault="005457BB" w:rsidP="003C21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C2163">
        <w:rPr>
          <w:rFonts w:ascii="Times New Roman" w:hAnsi="Times New Roman" w:cs="Times New Roman"/>
          <w:sz w:val="24"/>
          <w:szCs w:val="24"/>
        </w:rPr>
        <w:t xml:space="preserve">IZ NETA KOPIRAN: je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odhajanje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delavcev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, zaposlenih v organizaciji.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Beseda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fluktuacija je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latinskega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izvora "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fluctuare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pomeni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valovanje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nihanje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spreminjanje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Širše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lahko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fluktuacijo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opredelimo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gibanje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kadrov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v organizacijo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iz nje, v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ožjem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pomenu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besede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pa fluktuacija predstavlja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odhajanje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delavcev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, zaposlenih v organizaciji,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imajo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namen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skleniti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delovno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razmerje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kakšni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drugi organizaciji, pri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pa se ta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odhod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izkaže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nadomestna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potreba.</w:t>
      </w:r>
    </w:p>
    <w:p w:rsidR="005457BB" w:rsidRPr="003C2163" w:rsidRDefault="005457BB" w:rsidP="003C2163">
      <w:pPr>
        <w:spacing w:after="0" w:line="240" w:lineRule="auto"/>
        <w:ind w:left="360"/>
        <w:rPr>
          <w:rStyle w:val="uficommentbody"/>
          <w:rFonts w:ascii="Times New Roman" w:hAnsi="Times New Roman" w:cs="Times New Roman"/>
          <w:color w:val="333333"/>
          <w:sz w:val="24"/>
          <w:szCs w:val="24"/>
        </w:rPr>
      </w:pPr>
      <w:r w:rsidRPr="003C2163">
        <w:rPr>
          <w:rFonts w:ascii="Times New Roman" w:hAnsi="Times New Roman" w:cs="Times New Roman"/>
          <w:sz w:val="24"/>
          <w:szCs w:val="24"/>
        </w:rPr>
        <w:t>SSKJ: 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fluktuácija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  </w:t>
      </w:r>
      <w:r w:rsidRPr="003C216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i/>
          <w:iCs/>
          <w:sz w:val="24"/>
          <w:szCs w:val="24"/>
        </w:rPr>
        <w:t>naraščanje</w:t>
      </w:r>
      <w:proofErr w:type="spellEnd"/>
      <w:r w:rsidRPr="003C21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3C2163">
        <w:rPr>
          <w:rFonts w:ascii="Times New Roman" w:hAnsi="Times New Roman" w:cs="Times New Roman"/>
          <w:i/>
          <w:iCs/>
          <w:sz w:val="24"/>
          <w:szCs w:val="24"/>
        </w:rPr>
        <w:t xml:space="preserve"> upadanje količine </w:t>
      </w:r>
      <w:proofErr w:type="spellStart"/>
      <w:r w:rsidRPr="003C2163">
        <w:rPr>
          <w:rFonts w:ascii="Times New Roman" w:hAnsi="Times New Roman" w:cs="Times New Roman"/>
          <w:i/>
          <w:iCs/>
          <w:sz w:val="24"/>
          <w:szCs w:val="24"/>
        </w:rPr>
        <w:t>česa</w:t>
      </w:r>
      <w:proofErr w:type="spellEnd"/>
      <w:r w:rsidRPr="003C2163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Pr="003C2163">
        <w:rPr>
          <w:rFonts w:ascii="Times New Roman" w:hAnsi="Times New Roman" w:cs="Times New Roman"/>
          <w:i/>
          <w:iCs/>
          <w:sz w:val="24"/>
          <w:szCs w:val="24"/>
        </w:rPr>
        <w:t>določenem</w:t>
      </w:r>
      <w:proofErr w:type="spellEnd"/>
      <w:r w:rsidRPr="003C21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i/>
          <w:iCs/>
          <w:sz w:val="24"/>
          <w:szCs w:val="24"/>
        </w:rPr>
        <w:t>področju</w:t>
      </w:r>
      <w:proofErr w:type="spellEnd"/>
      <w:r w:rsidRPr="003C2163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3C2163">
        <w:rPr>
          <w:rFonts w:ascii="Times New Roman" w:hAnsi="Times New Roman" w:cs="Times New Roman"/>
          <w:i/>
          <w:iCs/>
          <w:sz w:val="24"/>
          <w:szCs w:val="24"/>
        </w:rPr>
        <w:t>spreminjanje</w:t>
      </w:r>
      <w:proofErr w:type="spellEnd"/>
      <w:r w:rsidRPr="003C2163">
        <w:rPr>
          <w:rFonts w:ascii="Times New Roman" w:hAnsi="Times New Roman" w:cs="Times New Roman"/>
          <w:i/>
          <w:iCs/>
          <w:sz w:val="24"/>
          <w:szCs w:val="24"/>
        </w:rPr>
        <w:t>, gibanje:</w:t>
      </w:r>
      <w:r w:rsidRPr="003C2163">
        <w:rPr>
          <w:rFonts w:ascii="Times New Roman" w:hAnsi="Times New Roman" w:cs="Times New Roman"/>
          <w:sz w:val="24"/>
          <w:szCs w:val="24"/>
        </w:rPr>
        <w:t xml:space="preserve"> fluktuacija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cen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; fluktuacija članstva v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društvih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; fluktuacija kriminalitete / fluktuacija pozornosti </w:t>
      </w:r>
      <w:r w:rsidRPr="003C216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i/>
          <w:iCs/>
          <w:sz w:val="24"/>
          <w:szCs w:val="24"/>
        </w:rPr>
        <w:t>menjavanje</w:t>
      </w:r>
      <w:proofErr w:type="spellEnd"/>
      <w:r w:rsidRPr="003C21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i/>
          <w:iCs/>
          <w:sz w:val="24"/>
          <w:szCs w:val="24"/>
        </w:rPr>
        <w:t>zaposlitve</w:t>
      </w:r>
      <w:proofErr w:type="spellEnd"/>
      <w:r w:rsidRPr="003C216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neurejene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razmere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podjetju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povzročajo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zelo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veliko fluktuacijo; fluktuacija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delovne</w:t>
      </w:r>
      <w:proofErr w:type="spellEnd"/>
      <w:r w:rsidRPr="003C2163">
        <w:rPr>
          <w:rFonts w:ascii="Times New Roman" w:hAnsi="Times New Roman" w:cs="Times New Roman"/>
          <w:sz w:val="24"/>
          <w:szCs w:val="24"/>
        </w:rPr>
        <w:t xml:space="preserve"> sile, </w:t>
      </w:r>
      <w:proofErr w:type="spellStart"/>
      <w:r w:rsidRPr="003C2163">
        <w:rPr>
          <w:rFonts w:ascii="Times New Roman" w:hAnsi="Times New Roman" w:cs="Times New Roman"/>
          <w:sz w:val="24"/>
          <w:szCs w:val="24"/>
        </w:rPr>
        <w:t>strokovnjakov</w:t>
      </w:r>
      <w:proofErr w:type="spellEnd"/>
    </w:p>
    <w:p w:rsidR="005457BB" w:rsidRPr="00511325" w:rsidRDefault="005457BB" w:rsidP="003C216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kakšne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naloge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inšpektorjev</w:t>
      </w:r>
      <w:proofErr w:type="spellEnd"/>
    </w:p>
    <w:p w:rsidR="00574472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 w:eastAsia="sl-SI"/>
        </w:rPr>
      </w:pPr>
      <w:r w:rsidRPr="00574472">
        <w:rPr>
          <w:lang w:val="sl-SI" w:eastAsia="sl-SI"/>
        </w:rPr>
        <w:t>odredi poslovnemu subjektu, da uskladi svoje poslovanje z določbami zakona,</w:t>
      </w:r>
    </w:p>
    <w:p w:rsidR="00574472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 w:eastAsia="sl-SI"/>
        </w:rPr>
      </w:pPr>
      <w:r w:rsidRPr="00574472">
        <w:rPr>
          <w:lang w:val="sl-SI" w:eastAsia="sl-SI"/>
        </w:rPr>
        <w:t>prepove dajanje na trg ali odredi umik MP, ki niso skladni z zakonom</w:t>
      </w:r>
    </w:p>
    <w:p w:rsidR="005457BB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lang w:val="sl-SI" w:eastAsia="sl-SI"/>
        </w:rPr>
      </w:pPr>
      <w:r w:rsidRPr="00574472">
        <w:rPr>
          <w:lang w:val="sl-SI" w:eastAsia="sl-SI"/>
        </w:rPr>
        <w:t xml:space="preserve">prepove dajanje v uporabo ali začetek uporabe, omeji ali odredi prenehanje uporabe </w:t>
      </w:r>
      <w:proofErr w:type="spellStart"/>
      <w:r w:rsidRPr="00574472">
        <w:rPr>
          <w:lang w:val="sl-SI" w:eastAsia="sl-SI"/>
        </w:rPr>
        <w:t>Mp</w:t>
      </w:r>
      <w:proofErr w:type="spellEnd"/>
    </w:p>
    <w:p w:rsidR="00574472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 w:eastAsia="sl-SI"/>
        </w:rPr>
      </w:pPr>
      <w:r w:rsidRPr="00574472">
        <w:rPr>
          <w:lang w:val="sl-SI" w:eastAsia="sl-SI"/>
        </w:rPr>
        <w:t>Prepove izdelavo, klinično preiskavo ali promet z MP</w:t>
      </w:r>
    </w:p>
    <w:p w:rsidR="00574472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 w:eastAsia="sl-SI"/>
        </w:rPr>
      </w:pPr>
      <w:r w:rsidRPr="00574472">
        <w:rPr>
          <w:lang w:val="sl-SI" w:eastAsia="sl-SI"/>
        </w:rPr>
        <w:t>Zahteva od poslovnega subjekta  vse potrebne podatke ter vpogled v izdane listine in drugo dokumentacijo</w:t>
      </w:r>
    </w:p>
    <w:p w:rsidR="00574472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 w:eastAsia="sl-SI"/>
        </w:rPr>
      </w:pPr>
      <w:r w:rsidRPr="00574472">
        <w:rPr>
          <w:lang w:val="sl-SI" w:eastAsia="sl-SI"/>
        </w:rPr>
        <w:t>Odredi izvajanje ustreznih pregledov in preizkusov MP glede skladnosti</w:t>
      </w:r>
    </w:p>
    <w:p w:rsidR="00000000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/>
        </w:rPr>
      </w:pPr>
      <w:r w:rsidRPr="00574472">
        <w:rPr>
          <w:rFonts w:ascii="Times New Roman" w:hAnsi="Times New Roman"/>
          <w:lang w:val="sl-SI"/>
        </w:rPr>
        <w:t>Odredi uničenje neskladnih MP</w:t>
      </w:r>
    </w:p>
    <w:p w:rsidR="00000000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/>
        </w:rPr>
      </w:pPr>
      <w:r w:rsidRPr="00574472">
        <w:rPr>
          <w:rFonts w:ascii="Times New Roman" w:hAnsi="Times New Roman"/>
          <w:lang w:val="sl-SI"/>
        </w:rPr>
        <w:t>Odvzame vzorce MP in jih odda v pregled skladnosti</w:t>
      </w:r>
    </w:p>
    <w:p w:rsidR="00000000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/>
        </w:rPr>
      </w:pPr>
      <w:r w:rsidRPr="00574472">
        <w:rPr>
          <w:rFonts w:ascii="Times New Roman" w:hAnsi="Times New Roman"/>
          <w:lang w:val="sl-SI"/>
        </w:rPr>
        <w:t>Prepove predstavljanje ali oglaševanje MP</w:t>
      </w:r>
    </w:p>
    <w:p w:rsidR="00000000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/>
        </w:rPr>
      </w:pPr>
      <w:r w:rsidRPr="00574472">
        <w:rPr>
          <w:rFonts w:ascii="Times New Roman" w:hAnsi="Times New Roman"/>
          <w:lang w:val="sl-SI"/>
        </w:rPr>
        <w:t>Odredi odstranjevanje ali uničenje materiala potrebnega za oglaševanje</w:t>
      </w:r>
    </w:p>
    <w:p w:rsidR="00574472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 w:eastAsia="sl-SI"/>
        </w:rPr>
      </w:pPr>
      <w:r w:rsidRPr="00574472">
        <w:rPr>
          <w:lang w:val="sl-SI" w:eastAsia="sl-SI"/>
        </w:rPr>
        <w:t>Odredi odpravo ugotovljenih neskladnosti z zakonom</w:t>
      </w:r>
    </w:p>
    <w:p w:rsidR="00574472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 w:eastAsia="sl-SI"/>
        </w:rPr>
      </w:pPr>
      <w:r w:rsidRPr="00574472">
        <w:rPr>
          <w:lang w:val="sl-SI" w:eastAsia="sl-SI"/>
        </w:rPr>
        <w:t xml:space="preserve">Odredi ukrepe poslovnemu subjektu v zvezi z izvajanjem sistema </w:t>
      </w:r>
      <w:proofErr w:type="spellStart"/>
      <w:r w:rsidRPr="00574472">
        <w:rPr>
          <w:lang w:val="sl-SI" w:eastAsia="sl-SI"/>
        </w:rPr>
        <w:t>vigilance</w:t>
      </w:r>
      <w:proofErr w:type="spellEnd"/>
    </w:p>
    <w:p w:rsidR="00574472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 w:eastAsia="sl-SI"/>
        </w:rPr>
      </w:pPr>
      <w:r w:rsidRPr="00574472">
        <w:rPr>
          <w:lang w:val="sl-SI" w:eastAsia="sl-SI"/>
        </w:rPr>
        <w:t>Odredi priglašenemu organu uskladitev poslovanja z zahtevami zakona</w:t>
      </w:r>
    </w:p>
    <w:p w:rsidR="00574472" w:rsidRPr="00574472" w:rsidRDefault="00574472" w:rsidP="00574472">
      <w:pPr>
        <w:numPr>
          <w:ilvl w:val="0"/>
          <w:numId w:val="20"/>
        </w:numPr>
        <w:spacing w:after="0"/>
        <w:ind w:left="714" w:hanging="357"/>
        <w:rPr>
          <w:rFonts w:ascii="Times New Roman" w:hAnsi="Times New Roman"/>
          <w:lang w:val="sl-SI" w:eastAsia="sl-SI"/>
        </w:rPr>
      </w:pPr>
      <w:r w:rsidRPr="00574472">
        <w:rPr>
          <w:lang w:val="sl-SI" w:eastAsia="sl-SI"/>
        </w:rPr>
        <w:t>Odredi druge ukrepe, potrebne za  izvajanje zakona</w:t>
      </w:r>
    </w:p>
    <w:p w:rsidR="005457BB" w:rsidRPr="00F142DB" w:rsidRDefault="005457BB" w:rsidP="00F14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42DB">
        <w:rPr>
          <w:rStyle w:val="emoticontext2"/>
          <w:rFonts w:ascii="Times New Roman" w:hAnsi="Times New Roman" w:cs="Times New Roman"/>
          <w:color w:val="333333"/>
          <w:sz w:val="24"/>
          <w:szCs w:val="24"/>
        </w:rPr>
        <w:t>=)</w:t>
      </w:r>
    </w:p>
    <w:sectPr w:rsidR="005457BB" w:rsidRPr="00F142DB" w:rsidSect="008C2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FC2"/>
    <w:multiLevelType w:val="hybridMultilevel"/>
    <w:tmpl w:val="6D1E7104"/>
    <w:lvl w:ilvl="0" w:tplc="0424000F">
      <w:start w:val="1"/>
      <w:numFmt w:val="decimal"/>
      <w:lvlText w:val="%1."/>
      <w:lvlJc w:val="left"/>
      <w:pPr>
        <w:ind w:left="510" w:hanging="360"/>
      </w:pPr>
      <w:rPr>
        <w:rFonts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0D41339A"/>
    <w:multiLevelType w:val="hybridMultilevel"/>
    <w:tmpl w:val="D012D1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B3F16"/>
    <w:multiLevelType w:val="hybridMultilevel"/>
    <w:tmpl w:val="E2741658"/>
    <w:lvl w:ilvl="0" w:tplc="795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A2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06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80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89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0C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A6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CF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41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5722A9"/>
    <w:multiLevelType w:val="hybridMultilevel"/>
    <w:tmpl w:val="EAE4E672"/>
    <w:lvl w:ilvl="0" w:tplc="217E5EC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1C51F2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A8EA9B0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E24F192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5DAC38A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408A20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0343F6E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B3A2D7DA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1BA8322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45A19"/>
    <w:multiLevelType w:val="hybridMultilevel"/>
    <w:tmpl w:val="807C9D22"/>
    <w:lvl w:ilvl="0" w:tplc="99E21E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C2CF1D4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A68AA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74E75BC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3E90A854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4308234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D5EB408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FE6C0D6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E200A00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2F0D15"/>
    <w:multiLevelType w:val="hybridMultilevel"/>
    <w:tmpl w:val="0E54FF28"/>
    <w:lvl w:ilvl="0" w:tplc="3474C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8F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20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4A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48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EF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E2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8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4A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034FFF"/>
    <w:multiLevelType w:val="hybridMultilevel"/>
    <w:tmpl w:val="505070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4565C"/>
    <w:multiLevelType w:val="hybridMultilevel"/>
    <w:tmpl w:val="AAC03B3C"/>
    <w:lvl w:ilvl="0" w:tplc="E3E460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BFDA9EC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684C9C0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9F4AB0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9A1EFD4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27E287B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F8D2533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7DF6BC3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7FC8ABE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8">
    <w:nsid w:val="473C7996"/>
    <w:multiLevelType w:val="hybridMultilevel"/>
    <w:tmpl w:val="6652E3EC"/>
    <w:lvl w:ilvl="0" w:tplc="E874299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4CDD7952"/>
    <w:multiLevelType w:val="hybridMultilevel"/>
    <w:tmpl w:val="EDFCA406"/>
    <w:lvl w:ilvl="0" w:tplc="A18E60BC"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5D665DC8"/>
    <w:multiLevelType w:val="hybridMultilevel"/>
    <w:tmpl w:val="0C0C7B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419E2"/>
    <w:multiLevelType w:val="hybridMultilevel"/>
    <w:tmpl w:val="78CCD04A"/>
    <w:lvl w:ilvl="0" w:tplc="E87429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D2185A"/>
    <w:multiLevelType w:val="hybridMultilevel"/>
    <w:tmpl w:val="B75A8480"/>
    <w:lvl w:ilvl="0" w:tplc="A18E60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D05E02"/>
    <w:multiLevelType w:val="hybridMultilevel"/>
    <w:tmpl w:val="5F7ECC00"/>
    <w:lvl w:ilvl="0" w:tplc="C55CD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04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29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86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EA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80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4D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AC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68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02F1067"/>
    <w:multiLevelType w:val="hybridMultilevel"/>
    <w:tmpl w:val="E52454AE"/>
    <w:lvl w:ilvl="0" w:tplc="FF420B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BFB890B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B7C80E4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212E475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4C360AC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E4ECF81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3F22570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0706E21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3056C09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5">
    <w:nsid w:val="72F029A4"/>
    <w:multiLevelType w:val="hybridMultilevel"/>
    <w:tmpl w:val="787A400A"/>
    <w:lvl w:ilvl="0" w:tplc="2DAEF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DC444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6228A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1DE99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9B2B6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F30B0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B8922F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7D268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97A79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6">
    <w:nsid w:val="73083D16"/>
    <w:multiLevelType w:val="hybridMultilevel"/>
    <w:tmpl w:val="4DDA2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0449C"/>
    <w:multiLevelType w:val="hybridMultilevel"/>
    <w:tmpl w:val="D2187A9A"/>
    <w:lvl w:ilvl="0" w:tplc="F6B644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71043628">
      <w:start w:val="17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15D4B20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25F6A21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B0D2056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93828A1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09CAC55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51D241E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6742D41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8">
    <w:nsid w:val="7D6A1299"/>
    <w:multiLevelType w:val="hybridMultilevel"/>
    <w:tmpl w:val="6FDE1F5A"/>
    <w:lvl w:ilvl="0" w:tplc="2F2C0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F1661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56483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4AED0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7E0D7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EB6CA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A4EBE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BB642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50621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>
    <w:nsid w:val="7E45707B"/>
    <w:multiLevelType w:val="hybridMultilevel"/>
    <w:tmpl w:val="C3A2D452"/>
    <w:lvl w:ilvl="0" w:tplc="D37A8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00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2D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2C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08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181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4C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27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E0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7"/>
  </w:num>
  <w:num w:numId="7">
    <w:abstractNumId w:val="17"/>
  </w:num>
  <w:num w:numId="8">
    <w:abstractNumId w:val="15"/>
  </w:num>
  <w:num w:numId="9">
    <w:abstractNumId w:val="18"/>
  </w:num>
  <w:num w:numId="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3"/>
  </w:num>
  <w:num w:numId="13">
    <w:abstractNumId w:val="19"/>
  </w:num>
  <w:num w:numId="14">
    <w:abstractNumId w:val="5"/>
  </w:num>
  <w:num w:numId="15">
    <w:abstractNumId w:val="2"/>
  </w:num>
  <w:num w:numId="16">
    <w:abstractNumId w:val="9"/>
  </w:num>
  <w:num w:numId="17">
    <w:abstractNumId w:val="0"/>
  </w:num>
  <w:num w:numId="18">
    <w:abstractNumId w:val="10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A94"/>
    <w:rsid w:val="00060050"/>
    <w:rsid w:val="00062E80"/>
    <w:rsid w:val="000762F9"/>
    <w:rsid w:val="001305F5"/>
    <w:rsid w:val="00167E1A"/>
    <w:rsid w:val="00170B6E"/>
    <w:rsid w:val="00194AD0"/>
    <w:rsid w:val="001F4D27"/>
    <w:rsid w:val="00236A94"/>
    <w:rsid w:val="00294275"/>
    <w:rsid w:val="002C03A9"/>
    <w:rsid w:val="002C47CC"/>
    <w:rsid w:val="002E55C9"/>
    <w:rsid w:val="00331621"/>
    <w:rsid w:val="00355BD7"/>
    <w:rsid w:val="00370117"/>
    <w:rsid w:val="003B3D50"/>
    <w:rsid w:val="003C2163"/>
    <w:rsid w:val="0040673C"/>
    <w:rsid w:val="00426E9B"/>
    <w:rsid w:val="004C5986"/>
    <w:rsid w:val="004E60B7"/>
    <w:rsid w:val="00511325"/>
    <w:rsid w:val="005457BB"/>
    <w:rsid w:val="00574472"/>
    <w:rsid w:val="005A635D"/>
    <w:rsid w:val="005C666A"/>
    <w:rsid w:val="005D16CC"/>
    <w:rsid w:val="005D4D39"/>
    <w:rsid w:val="005D67BE"/>
    <w:rsid w:val="005F527D"/>
    <w:rsid w:val="0060185D"/>
    <w:rsid w:val="006C3C14"/>
    <w:rsid w:val="006D4CB1"/>
    <w:rsid w:val="006D6F24"/>
    <w:rsid w:val="007D360A"/>
    <w:rsid w:val="008C2B66"/>
    <w:rsid w:val="008D42F4"/>
    <w:rsid w:val="008E14FA"/>
    <w:rsid w:val="008E2725"/>
    <w:rsid w:val="00901F89"/>
    <w:rsid w:val="00925304"/>
    <w:rsid w:val="00A40EF0"/>
    <w:rsid w:val="00AB2EE6"/>
    <w:rsid w:val="00AD60AE"/>
    <w:rsid w:val="00AE5305"/>
    <w:rsid w:val="00AE68B6"/>
    <w:rsid w:val="00BB5BAB"/>
    <w:rsid w:val="00C47602"/>
    <w:rsid w:val="00CB5E11"/>
    <w:rsid w:val="00D06E5A"/>
    <w:rsid w:val="00D548CF"/>
    <w:rsid w:val="00E20EC6"/>
    <w:rsid w:val="00E26449"/>
    <w:rsid w:val="00E422B6"/>
    <w:rsid w:val="00F07478"/>
    <w:rsid w:val="00F142DB"/>
    <w:rsid w:val="00F73F07"/>
    <w:rsid w:val="00F9744D"/>
    <w:rsid w:val="00FC0BDC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2B66"/>
    <w:pPr>
      <w:spacing w:after="200" w:line="276" w:lineRule="auto"/>
    </w:pPr>
    <w:rPr>
      <w:rFonts w:cs="Calibri"/>
      <w:sz w:val="22"/>
      <w:szCs w:val="22"/>
      <w:lang w:val="hr-HR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uficommentbody">
    <w:name w:val="uficommentbody"/>
    <w:basedOn w:val="Privzetapisavaodstavka"/>
    <w:uiPriority w:val="99"/>
    <w:rsid w:val="00236A94"/>
  </w:style>
  <w:style w:type="character" w:customStyle="1" w:styleId="emoticontext2">
    <w:name w:val="emoticon_text2"/>
    <w:uiPriority w:val="99"/>
    <w:rsid w:val="00236A94"/>
    <w:rPr>
      <w:vanish/>
    </w:rPr>
  </w:style>
  <w:style w:type="paragraph" w:styleId="Telobesedila2">
    <w:name w:val="Body Text 2"/>
    <w:basedOn w:val="Navaden"/>
    <w:link w:val="Telobesedila2Znak"/>
    <w:uiPriority w:val="99"/>
    <w:rsid w:val="005F527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  <w:lang w:val="sl-SI" w:eastAsia="sl-SI"/>
    </w:rPr>
  </w:style>
  <w:style w:type="character" w:customStyle="1" w:styleId="Telobesedila2Znak">
    <w:name w:val="Telo besedila 2 Znak"/>
    <w:link w:val="Telobesedila2"/>
    <w:uiPriority w:val="99"/>
    <w:locked/>
    <w:rsid w:val="005F527D"/>
    <w:rPr>
      <w:rFonts w:eastAsia="Times New Roman"/>
      <w:sz w:val="23"/>
      <w:szCs w:val="23"/>
      <w:lang w:val="sl-SI" w:eastAsia="sl-SI"/>
    </w:rPr>
  </w:style>
  <w:style w:type="character" w:styleId="Krepko">
    <w:name w:val="Strong"/>
    <w:uiPriority w:val="99"/>
    <w:qFormat/>
    <w:locked/>
    <w:rsid w:val="003C2163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574472"/>
    <w:pPr>
      <w:spacing w:after="160" w:line="256" w:lineRule="auto"/>
      <w:ind w:left="720"/>
      <w:contextualSpacing/>
    </w:pPr>
    <w:rPr>
      <w:rFonts w:cs="Times New Roman"/>
      <w:lang w:val="sl-SI"/>
    </w:rPr>
  </w:style>
  <w:style w:type="character" w:customStyle="1" w:styleId="OdstavekseznamaZnak">
    <w:name w:val="Odstavek seznama Znak"/>
    <w:link w:val="Odstavekseznama"/>
    <w:uiPriority w:val="34"/>
    <w:locked/>
    <w:rsid w:val="00574472"/>
    <w:rPr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57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Podnaslov">
    <w:name w:val="Subtitle"/>
    <w:basedOn w:val="Navaden"/>
    <w:next w:val="Navaden"/>
    <w:link w:val="PodnaslovZnak"/>
    <w:qFormat/>
    <w:locked/>
    <w:rsid w:val="0057447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naslovZnak">
    <w:name w:val="Podnaslov Znak"/>
    <w:link w:val="Podnaslov"/>
    <w:rsid w:val="00574472"/>
    <w:rPr>
      <w:rFonts w:ascii="Cambria" w:eastAsia="Times New Roman" w:hAnsi="Cambria" w:cs="Times New Roman"/>
      <w:sz w:val="24"/>
      <w:szCs w:val="24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8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1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6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2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5515-85EF-41C7-83D3-E137FEEC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2469</Words>
  <Characters>14074</Characters>
  <Application>Microsoft Office Word</Application>
  <DocSecurity>0</DocSecurity>
  <Lines>117</Lines>
  <Paragraphs>33</Paragraphs>
  <ScaleCrop>false</ScaleCrop>
  <Company/>
  <LinksUpToDate>false</LinksUpToDate>
  <CharactersWithSpaces>16510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Luban</dc:creator>
  <cp:keywords/>
  <dc:description/>
  <cp:lastModifiedBy>Uporabnik</cp:lastModifiedBy>
  <cp:revision>38</cp:revision>
  <dcterms:created xsi:type="dcterms:W3CDTF">2013-01-24T18:11:00Z</dcterms:created>
  <dcterms:modified xsi:type="dcterms:W3CDTF">2017-06-15T11:33:00Z</dcterms:modified>
</cp:coreProperties>
</file>